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9D1" w:rsidRDefault="001379D1" w:rsidP="001379D1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</w:p>
    <w:p w:rsidR="001379D1" w:rsidRDefault="001379D1" w:rsidP="001379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Тимашков Никита Андреевич</w:t>
      </w:r>
    </w:p>
    <w:p w:rsidR="001379D1" w:rsidRDefault="001379D1" w:rsidP="001379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«Временная динамика спектров люминесценции костных тканей» </w:t>
      </w:r>
    </w:p>
    <w:p w:rsidR="001379D1" w:rsidRDefault="001379D1" w:rsidP="001379D1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Расчетно-п</w:t>
      </w:r>
      <w:r w:rsidR="004E3425">
        <w:rPr>
          <w:rFonts w:ascii="Times New Roman" w:hAnsi="Times New Roman"/>
          <w:sz w:val="28"/>
          <w:szCs w:val="28"/>
        </w:rPr>
        <w:t>ояснительная записка содержит 64</w:t>
      </w:r>
      <w:r>
        <w:rPr>
          <w:rFonts w:ascii="Times New Roman" w:hAnsi="Times New Roman"/>
          <w:sz w:val="28"/>
          <w:szCs w:val="28"/>
        </w:rPr>
        <w:t xml:space="preserve"> страницы, 26 рисунков, 5 таблиц.</w:t>
      </w:r>
    </w:p>
    <w:p w:rsidR="001379D1" w:rsidRDefault="001379D1" w:rsidP="001379D1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выпускной квалификационной работе представлено строение костной ткани и ее люминесцентные свойства. </w:t>
      </w:r>
      <w:r>
        <w:rPr>
          <w:rFonts w:ascii="Times New Roman" w:hAnsi="Times New Roman"/>
          <w:bCs/>
          <w:sz w:val="28"/>
          <w:szCs w:val="28"/>
        </w:rPr>
        <w:t xml:space="preserve">Разработана методика </w:t>
      </w:r>
      <w:r>
        <w:rPr>
          <w:rFonts w:ascii="Times New Roman" w:hAnsi="Times New Roman"/>
          <w:sz w:val="28"/>
          <w:szCs w:val="28"/>
        </w:rPr>
        <w:t>изучения костных шлифов для исследования временной динамики люминесценции. Исследована временная динамика спектральных характеристик люминесценции при изменении степени гидратации.</w:t>
      </w:r>
    </w:p>
    <w:p w:rsidR="00F65BE7" w:rsidRDefault="001379D1" w:rsidP="001379D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  <w:t>Работа</w:t>
      </w:r>
      <w:r>
        <w:rPr>
          <w:rFonts w:ascii="Times New Roman" w:hAnsi="Times New Roman"/>
          <w:sz w:val="28"/>
          <w:szCs w:val="28"/>
        </w:rPr>
        <w:t xml:space="preserve"> может быть полезна специалистам в области медицины, археологии и спектрального люминесцентного анализа.</w:t>
      </w: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6BA8" w:rsidRPr="00640EDE" w:rsidRDefault="00A16BA8" w:rsidP="00A16BA8">
      <w:pPr>
        <w:widowControl w:val="0"/>
        <w:tabs>
          <w:tab w:val="left" w:pos="0"/>
          <w:tab w:val="left" w:pos="555"/>
          <w:tab w:val="center" w:pos="4960"/>
        </w:tabs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0EDE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16BA8" w:rsidRPr="00954081" w:rsidRDefault="00A16BA8" w:rsidP="00A16BA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>Остеологический материал содержит генетическую информацию, которая при современном уровне развития генетики может быть востребована различными научными дисциплинами: археология, историческая антропология, этнология, генетика популяций, судебная медицина.</w:t>
      </w:r>
    </w:p>
    <w:p w:rsidR="00A16BA8" w:rsidRPr="00954081" w:rsidRDefault="00A16BA8" w:rsidP="00A16BA8">
      <w:pPr>
        <w:widowControl w:val="0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 xml:space="preserve">В настоящее время используется множество методов исследования остеологического материала, а именно костных останков, но не все методы могут дать желаемый результат. Для археологии  ключевой задачей является историческая реконструкция изучаемой эпохи. В связи с этим, актуальной является проблема археологическая  идентификации костных останков с целью более достоверного датирования периода. </w:t>
      </w:r>
    </w:p>
    <w:p w:rsidR="00A16BA8" w:rsidRPr="00954081" w:rsidRDefault="00A16BA8" w:rsidP="00A16BA8">
      <w:pPr>
        <w:widowControl w:val="0"/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>С</w:t>
      </w:r>
      <w:r w:rsidRPr="00954081">
        <w:rPr>
          <w:rFonts w:ascii="Times New Roman" w:hAnsi="Times New Roman"/>
          <w:color w:val="000000"/>
          <w:sz w:val="28"/>
          <w:szCs w:val="28"/>
        </w:rPr>
        <w:t>реди современных оптических методов исследования биоло</w:t>
      </w:r>
      <w:r w:rsidRPr="00954081">
        <w:rPr>
          <w:rFonts w:ascii="Times New Roman" w:hAnsi="Times New Roman"/>
          <w:color w:val="000000"/>
          <w:sz w:val="28"/>
          <w:szCs w:val="28"/>
        </w:rPr>
        <w:softHyphen/>
        <w:t>гических тканей особое место занимают методы флуорес</w:t>
      </w:r>
      <w:r w:rsidRPr="00954081">
        <w:rPr>
          <w:rFonts w:ascii="Times New Roman" w:hAnsi="Times New Roman"/>
          <w:color w:val="000000"/>
          <w:sz w:val="28"/>
          <w:szCs w:val="28"/>
        </w:rPr>
        <w:softHyphen/>
        <w:t xml:space="preserve">центной спектроскопии. Флуоресценция </w:t>
      </w:r>
      <w:proofErr w:type="spellStart"/>
      <w:r w:rsidRPr="00954081">
        <w:rPr>
          <w:rFonts w:ascii="Times New Roman" w:hAnsi="Times New Roman"/>
          <w:color w:val="000000"/>
          <w:sz w:val="28"/>
          <w:szCs w:val="28"/>
        </w:rPr>
        <w:t>биоткани</w:t>
      </w:r>
      <w:proofErr w:type="spellEnd"/>
      <w:r w:rsidRPr="00954081">
        <w:rPr>
          <w:rFonts w:ascii="Times New Roman" w:hAnsi="Times New Roman"/>
          <w:color w:val="000000"/>
          <w:sz w:val="28"/>
          <w:szCs w:val="28"/>
        </w:rPr>
        <w:t xml:space="preserve"> несёт информацию о концентрации и пространственном распределении её хромофоров и </w:t>
      </w:r>
      <w:proofErr w:type="spellStart"/>
      <w:r w:rsidRPr="00954081">
        <w:rPr>
          <w:rFonts w:ascii="Times New Roman" w:hAnsi="Times New Roman"/>
          <w:color w:val="000000"/>
          <w:sz w:val="28"/>
          <w:szCs w:val="28"/>
        </w:rPr>
        <w:t>флуорофоров</w:t>
      </w:r>
      <w:proofErr w:type="spellEnd"/>
      <w:r w:rsidRPr="00954081">
        <w:rPr>
          <w:rFonts w:ascii="Times New Roman" w:hAnsi="Times New Roman"/>
          <w:color w:val="000000"/>
          <w:sz w:val="28"/>
          <w:szCs w:val="28"/>
        </w:rPr>
        <w:t xml:space="preserve">, что позволяет судить о структуре </w:t>
      </w:r>
      <w:proofErr w:type="spellStart"/>
      <w:r w:rsidRPr="00954081">
        <w:rPr>
          <w:rFonts w:ascii="Times New Roman" w:hAnsi="Times New Roman"/>
          <w:color w:val="000000"/>
          <w:sz w:val="28"/>
          <w:szCs w:val="28"/>
        </w:rPr>
        <w:t>биоткани</w:t>
      </w:r>
      <w:proofErr w:type="spellEnd"/>
      <w:r w:rsidRPr="00954081">
        <w:rPr>
          <w:rFonts w:ascii="Times New Roman" w:hAnsi="Times New Roman"/>
          <w:color w:val="000000"/>
          <w:sz w:val="28"/>
          <w:szCs w:val="28"/>
        </w:rPr>
        <w:t>, об интенсивности происходящих в ней метаболических процессов и др.</w:t>
      </w:r>
    </w:p>
    <w:p w:rsidR="00A16BA8" w:rsidRPr="00954081" w:rsidRDefault="00A16BA8" w:rsidP="00A16BA8">
      <w:pPr>
        <w:widowControl w:val="0"/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954081">
        <w:rPr>
          <w:rFonts w:ascii="Times New Roman" w:hAnsi="Times New Roman"/>
          <w:color w:val="000000"/>
          <w:spacing w:val="3"/>
          <w:sz w:val="28"/>
          <w:szCs w:val="28"/>
        </w:rPr>
        <w:t xml:space="preserve">Спектры флуоресценции часто дают </w:t>
      </w:r>
      <w:r w:rsidRPr="00954081">
        <w:rPr>
          <w:rFonts w:ascii="Times New Roman" w:hAnsi="Times New Roman"/>
          <w:color w:val="000000"/>
          <w:spacing w:val="1"/>
          <w:sz w:val="28"/>
          <w:szCs w:val="28"/>
        </w:rPr>
        <w:t xml:space="preserve">детальную информацию о флуоресцирующих молекулах, их </w:t>
      </w:r>
      <w:proofErr w:type="spellStart"/>
      <w:r w:rsidRPr="00954081">
        <w:rPr>
          <w:rFonts w:ascii="Times New Roman" w:hAnsi="Times New Roman"/>
          <w:color w:val="000000"/>
          <w:spacing w:val="1"/>
          <w:sz w:val="28"/>
          <w:szCs w:val="28"/>
        </w:rPr>
        <w:t>конформациях</w:t>
      </w:r>
      <w:proofErr w:type="spellEnd"/>
      <w:r w:rsidRPr="00954081">
        <w:rPr>
          <w:rFonts w:ascii="Times New Roman" w:hAnsi="Times New Roman"/>
          <w:color w:val="000000"/>
          <w:spacing w:val="1"/>
          <w:sz w:val="28"/>
          <w:szCs w:val="28"/>
        </w:rPr>
        <w:t xml:space="preserve">, комплексах, местах </w:t>
      </w:r>
      <w:r w:rsidRPr="00954081">
        <w:rPr>
          <w:rFonts w:ascii="Times New Roman" w:hAnsi="Times New Roman"/>
          <w:color w:val="000000"/>
          <w:spacing w:val="2"/>
          <w:sz w:val="28"/>
          <w:szCs w:val="28"/>
        </w:rPr>
        <w:t>связывания и взаимодействиях с клетками и тканями.</w:t>
      </w:r>
    </w:p>
    <w:p w:rsidR="00A16BA8" w:rsidRPr="00954081" w:rsidRDefault="00A16BA8" w:rsidP="00A16BA8">
      <w:pPr>
        <w:widowControl w:val="0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>Флуоресцентные методы позволяют просто и экономично решить многие задачи физико-химического анализа, клинической диагностики, и все шире применяются в медицинских и биохимических исследованиях.</w:t>
      </w:r>
    </w:p>
    <w:p w:rsidR="00A16BA8" w:rsidRPr="00954081" w:rsidRDefault="00A16BA8" w:rsidP="00A16BA8">
      <w:pPr>
        <w:pStyle w:val="Style4"/>
        <w:widowControl/>
        <w:spacing w:line="360" w:lineRule="auto"/>
        <w:ind w:firstLine="567"/>
        <w:rPr>
          <w:rStyle w:val="FontStyle15"/>
          <w:sz w:val="28"/>
          <w:szCs w:val="28"/>
        </w:rPr>
      </w:pPr>
      <w:r w:rsidRPr="00954081">
        <w:rPr>
          <w:sz w:val="28"/>
          <w:szCs w:val="28"/>
        </w:rPr>
        <w:t xml:space="preserve">Кость представляет собой сложный композитный материал, состоящий из кристаллов </w:t>
      </w:r>
      <w:proofErr w:type="spellStart"/>
      <w:r w:rsidRPr="00954081">
        <w:rPr>
          <w:sz w:val="28"/>
          <w:szCs w:val="28"/>
        </w:rPr>
        <w:t>гидроксиапатита</w:t>
      </w:r>
      <w:proofErr w:type="spellEnd"/>
      <w:r w:rsidRPr="00954081">
        <w:rPr>
          <w:sz w:val="28"/>
          <w:szCs w:val="28"/>
        </w:rPr>
        <w:t xml:space="preserve">, </w:t>
      </w:r>
      <w:proofErr w:type="spellStart"/>
      <w:r w:rsidRPr="00954081">
        <w:rPr>
          <w:sz w:val="28"/>
          <w:szCs w:val="28"/>
        </w:rPr>
        <w:t>микрофибрилл</w:t>
      </w:r>
      <w:proofErr w:type="spellEnd"/>
      <w:r w:rsidRPr="00954081">
        <w:rPr>
          <w:sz w:val="28"/>
          <w:szCs w:val="28"/>
        </w:rPr>
        <w:t xml:space="preserve"> коллагена и </w:t>
      </w:r>
      <w:proofErr w:type="spellStart"/>
      <w:r w:rsidRPr="00954081">
        <w:rPr>
          <w:sz w:val="28"/>
          <w:szCs w:val="28"/>
        </w:rPr>
        <w:t>мукополисахаридов</w:t>
      </w:r>
      <w:proofErr w:type="spellEnd"/>
      <w:r w:rsidRPr="00954081">
        <w:rPr>
          <w:sz w:val="28"/>
          <w:szCs w:val="28"/>
        </w:rPr>
        <w:t xml:space="preserve">, связывающих в единую систему белковый и </w:t>
      </w:r>
      <w:proofErr w:type="spellStart"/>
      <w:r w:rsidRPr="00954081">
        <w:rPr>
          <w:sz w:val="28"/>
          <w:szCs w:val="28"/>
        </w:rPr>
        <w:t>минералный</w:t>
      </w:r>
      <w:proofErr w:type="spellEnd"/>
      <w:r w:rsidRPr="00954081">
        <w:rPr>
          <w:sz w:val="28"/>
          <w:szCs w:val="28"/>
        </w:rPr>
        <w:t xml:space="preserve">  компонент кости. При минерализации происходит разложение органического компонента кости и замещение </w:t>
      </w:r>
      <w:proofErr w:type="spellStart"/>
      <w:r w:rsidRPr="00954081">
        <w:rPr>
          <w:sz w:val="28"/>
          <w:szCs w:val="28"/>
        </w:rPr>
        <w:t>гидроксиапатита</w:t>
      </w:r>
      <w:proofErr w:type="spellEnd"/>
      <w:r w:rsidRPr="00954081">
        <w:rPr>
          <w:sz w:val="28"/>
          <w:szCs w:val="28"/>
        </w:rPr>
        <w:t xml:space="preserve"> апатитом и солями тяжелых металлов. Так  как этот процесс происходит при участии </w:t>
      </w:r>
      <w:proofErr w:type="spellStart"/>
      <w:r w:rsidRPr="00954081">
        <w:rPr>
          <w:sz w:val="28"/>
          <w:szCs w:val="28"/>
        </w:rPr>
        <w:t>сапрофильных</w:t>
      </w:r>
      <w:proofErr w:type="spellEnd"/>
      <w:r w:rsidRPr="00954081">
        <w:rPr>
          <w:sz w:val="28"/>
          <w:szCs w:val="28"/>
        </w:rPr>
        <w:t xml:space="preserve">  бактерий, в </w:t>
      </w:r>
      <w:proofErr w:type="spellStart"/>
      <w:r w:rsidRPr="00954081">
        <w:rPr>
          <w:sz w:val="28"/>
          <w:szCs w:val="28"/>
        </w:rPr>
        <w:t>фоссилизированных</w:t>
      </w:r>
      <w:proofErr w:type="spellEnd"/>
      <w:r w:rsidRPr="00954081">
        <w:rPr>
          <w:sz w:val="28"/>
          <w:szCs w:val="28"/>
        </w:rPr>
        <w:t xml:space="preserve"> костях могут накапливаться биологические материалы бактериального происхождения. Коллаген относят к флуоресцентным белкам 2 типа. Его </w:t>
      </w:r>
      <w:r w:rsidRPr="00954081">
        <w:rPr>
          <w:sz w:val="28"/>
          <w:szCs w:val="28"/>
        </w:rPr>
        <w:lastRenderedPageBreak/>
        <w:t xml:space="preserve">способность к </w:t>
      </w:r>
      <w:proofErr w:type="spellStart"/>
      <w:r w:rsidRPr="00954081">
        <w:rPr>
          <w:sz w:val="28"/>
          <w:szCs w:val="28"/>
        </w:rPr>
        <w:t>флуорисценции</w:t>
      </w:r>
      <w:proofErr w:type="spellEnd"/>
      <w:r w:rsidRPr="00954081">
        <w:rPr>
          <w:sz w:val="28"/>
          <w:szCs w:val="28"/>
        </w:rPr>
        <w:t xml:space="preserve"> определяется наличием в структуре ароматических аминокислот: тирозина и </w:t>
      </w:r>
      <w:proofErr w:type="spellStart"/>
      <w:r w:rsidRPr="00954081">
        <w:rPr>
          <w:sz w:val="28"/>
          <w:szCs w:val="28"/>
        </w:rPr>
        <w:t>фенилаланина</w:t>
      </w:r>
      <w:proofErr w:type="spellEnd"/>
      <w:r w:rsidRPr="00954081">
        <w:rPr>
          <w:sz w:val="28"/>
          <w:szCs w:val="28"/>
        </w:rPr>
        <w:t>.</w:t>
      </w:r>
      <w:r w:rsidRPr="00954081">
        <w:rPr>
          <w:rStyle w:val="a5"/>
          <w:sz w:val="28"/>
          <w:szCs w:val="28"/>
        </w:rPr>
        <w:t xml:space="preserve"> </w:t>
      </w:r>
      <w:r w:rsidRPr="00954081">
        <w:rPr>
          <w:rStyle w:val="FontStyle15"/>
          <w:sz w:val="28"/>
          <w:szCs w:val="28"/>
        </w:rPr>
        <w:t>В то же время способность костей на протяжении очень многих лет (в зависимости от условий их пребывания) сохранять свою форму, размеры и некоторые другие анатомические и механические свойства не означает отсутствия как внешних их изменений, легко выявляемых при обычном осмотре, так и внутренних — структуры и химического состава костной ткани, обнаруживаемых специальными методами исследования.</w:t>
      </w:r>
    </w:p>
    <w:p w:rsidR="00A16BA8" w:rsidRPr="00954081" w:rsidRDefault="00A16BA8" w:rsidP="00A16BA8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54081">
        <w:rPr>
          <w:rFonts w:ascii="Times New Roman" w:hAnsi="Times New Roman"/>
          <w:color w:val="000000"/>
          <w:sz w:val="28"/>
          <w:szCs w:val="28"/>
        </w:rPr>
        <w:t>Целью выпускной квалификационной работы является исследование временной динамики изменения люминесцентных характеристик костных шлифов при изменении степени гидратации.</w:t>
      </w:r>
    </w:p>
    <w:p w:rsidR="00A16BA8" w:rsidRPr="00954081" w:rsidRDefault="00A16BA8" w:rsidP="00A16BA8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>В рамках поставленной цели выделены следующие задачи:</w:t>
      </w:r>
    </w:p>
    <w:p w:rsidR="00A16BA8" w:rsidRDefault="00A16BA8" w:rsidP="00A16BA8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 xml:space="preserve">Изучение строения костной ткани и ее люминесцентных свойств; </w:t>
      </w:r>
    </w:p>
    <w:p w:rsidR="00A16BA8" w:rsidRDefault="00A16BA8" w:rsidP="00A16BA8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bCs/>
          <w:sz w:val="28"/>
          <w:szCs w:val="28"/>
        </w:rPr>
        <w:t xml:space="preserve">Разработка методики </w:t>
      </w:r>
      <w:r w:rsidRPr="00954081">
        <w:rPr>
          <w:rFonts w:ascii="Times New Roman" w:hAnsi="Times New Roman"/>
          <w:sz w:val="28"/>
          <w:szCs w:val="28"/>
        </w:rPr>
        <w:t>изучения костных шлифов на спектрофлуориметре Флюорат-02-Панорама для исследования временной динамики люминесценции;</w:t>
      </w:r>
    </w:p>
    <w:p w:rsidR="00A16BA8" w:rsidRPr="00954081" w:rsidRDefault="00A16BA8" w:rsidP="00A16BA8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4081">
        <w:rPr>
          <w:rFonts w:ascii="Times New Roman" w:hAnsi="Times New Roman"/>
          <w:sz w:val="28"/>
          <w:szCs w:val="28"/>
        </w:rPr>
        <w:t>Исследование временной динамики спектральных характеристик люминесценции при изменении степени гидратации.</w:t>
      </w:r>
    </w:p>
    <w:p w:rsidR="00A16BA8" w:rsidRPr="00954081" w:rsidRDefault="00A16BA8" w:rsidP="00A16BA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Default="00A16BA8" w:rsidP="00A16BA8">
      <w:pPr>
        <w:pStyle w:val="1"/>
        <w:spacing w:before="0" w:after="0" w:line="240" w:lineRule="auto"/>
        <w:ind w:firstLine="0"/>
        <w:jc w:val="both"/>
      </w:pPr>
    </w:p>
    <w:p w:rsidR="00A16BA8" w:rsidRPr="00667511" w:rsidRDefault="00A16BA8" w:rsidP="00A16BA8">
      <w:pPr>
        <w:pStyle w:val="1"/>
        <w:spacing w:before="0" w:after="0" w:line="240" w:lineRule="auto"/>
        <w:ind w:firstLine="0"/>
        <w:jc w:val="both"/>
      </w:pPr>
      <w:r>
        <w:lastRenderedPageBreak/>
        <w:t xml:space="preserve">1. </w:t>
      </w:r>
      <w:r w:rsidRPr="00667511">
        <w:t>СТРОЕНИЕ КОСТНОЙ ТКАНИ И СВОЙСТВА ЕЕ ЛЮМИНЕСЦЕНЦИИ</w:t>
      </w:r>
    </w:p>
    <w:p w:rsidR="00A16BA8" w:rsidRPr="00667511" w:rsidRDefault="00A16BA8" w:rsidP="00A16BA8">
      <w:pPr>
        <w:pStyle w:val="2"/>
        <w:spacing w:line="240" w:lineRule="auto"/>
        <w:ind w:firstLine="0"/>
      </w:pPr>
      <w:r w:rsidRPr="00667511">
        <w:t>1.1. Общие сведения о костной ткани</w:t>
      </w:r>
    </w:p>
    <w:p w:rsidR="00A16BA8" w:rsidRPr="0012187F" w:rsidRDefault="00A16BA8" w:rsidP="00A16BA8">
      <w:pPr>
        <w:pStyle w:val="a0"/>
      </w:pPr>
      <w:r w:rsidRPr="0012187F">
        <w:t>Костные ткани (</w:t>
      </w:r>
      <w:proofErr w:type="spellStart"/>
      <w:r w:rsidRPr="0012187F">
        <w:rPr>
          <w:i/>
          <w:iCs/>
        </w:rPr>
        <w:t>textusossei</w:t>
      </w:r>
      <w:proofErr w:type="spellEnd"/>
      <w:r w:rsidRPr="0012187F">
        <w:t xml:space="preserve">) – это специализированный тип соединительной ткани с </w:t>
      </w:r>
      <w:r w:rsidRPr="0012187F">
        <w:rPr>
          <w:bCs/>
        </w:rPr>
        <w:t>высокой минерализацией</w:t>
      </w:r>
      <w:r w:rsidRPr="0012187F">
        <w:t xml:space="preserve"> межклеточного органического вещества, содержащего около 70% неорганических соединений, главным образом фосфатов кальция. В костной ткани обнаружено более 30 микроэлементов (медь, цинк, барий, магний и др.), играющих важнейшую роль в метаболических процессах в организме [1].</w:t>
      </w:r>
    </w:p>
    <w:p w:rsidR="00A16BA8" w:rsidRPr="0012187F" w:rsidRDefault="00A16BA8" w:rsidP="00A16BA8">
      <w:pPr>
        <w:pStyle w:val="a0"/>
      </w:pPr>
      <w:r w:rsidRPr="0012187F">
        <w:t>Органическое ве</w:t>
      </w:r>
      <w:r>
        <w:t>щество – матрикс костной ткани</w:t>
      </w:r>
      <w:r w:rsidRPr="0012187F">
        <w:t xml:space="preserve"> представлено</w:t>
      </w:r>
      <w:r>
        <w:t>,</w:t>
      </w:r>
      <w:r w:rsidRPr="0012187F">
        <w:t xml:space="preserve"> в основном</w:t>
      </w:r>
      <w:r>
        <w:t>,</w:t>
      </w:r>
      <w:r w:rsidRPr="0012187F">
        <w:t xml:space="preserve"> белками </w:t>
      </w:r>
      <w:proofErr w:type="spellStart"/>
      <w:r w:rsidRPr="0012187F">
        <w:t>коллагенового</w:t>
      </w:r>
      <w:proofErr w:type="spellEnd"/>
      <w:r w:rsidRPr="0012187F">
        <w:t xml:space="preserve"> типа и липидами. По сравнению с хрящевой тканью в нем содержится относительно небольшое количество воды, хондроитинсерной кислоты, но много лимонной и других кислот, образующих комплексы с кальцием, </w:t>
      </w:r>
      <w:proofErr w:type="spellStart"/>
      <w:r w:rsidRPr="0012187F">
        <w:t>импрегнирующим</w:t>
      </w:r>
      <w:proofErr w:type="spellEnd"/>
      <w:r w:rsidRPr="0012187F">
        <w:t xml:space="preserve"> органическую матрицу кости.</w:t>
      </w:r>
    </w:p>
    <w:p w:rsidR="00A16BA8" w:rsidRPr="0012187F" w:rsidRDefault="00A16BA8" w:rsidP="00A16BA8">
      <w:pPr>
        <w:pStyle w:val="a0"/>
      </w:pPr>
      <w:r w:rsidRPr="0012187F">
        <w:t>Таким образом, твердое межклеточное вещество костной ткани (в сравнении с хрящевой тканью) придает костям более выс</w:t>
      </w:r>
      <w:r>
        <w:t>окую прочность, и в тоже время</w:t>
      </w:r>
      <w:r w:rsidRPr="0012187F">
        <w:t xml:space="preserve"> хрупкость. Органические и неорганические компоненты в сочетании друг с другом определяют механические свойства костной ткани</w:t>
      </w:r>
      <w:r>
        <w:t>.</w:t>
      </w:r>
    </w:p>
    <w:p w:rsidR="00A16BA8" w:rsidRPr="0012187F" w:rsidRDefault="00A16BA8" w:rsidP="00A16BA8">
      <w:pPr>
        <w:pStyle w:val="a0"/>
      </w:pPr>
      <w:r w:rsidRPr="0012187F">
        <w:t>Несмотря на высокую степень минерализации, в костных тканях происходят постоянное обновление входящих в их состав веществ, постоянное разрушение и созидание, адаптивные перестройки к изменяющимся условиям функционирования. Морфофункциональные свойства костной ткани меняются в зависимости от возраста, физических нагрузок, условий питания, а также под влиянием деятельности желез внутренней секреци</w:t>
      </w:r>
      <w:r>
        <w:t xml:space="preserve">и, иннервации и других факторов. </w:t>
      </w:r>
      <w:r w:rsidRPr="0012187F">
        <w:t xml:space="preserve">Существует </w:t>
      </w:r>
      <w:r>
        <w:t xml:space="preserve">два основных типа костной ткани: </w:t>
      </w:r>
      <w:proofErr w:type="spellStart"/>
      <w:r w:rsidRPr="0012187F">
        <w:t>ретик</w:t>
      </w:r>
      <w:r>
        <w:t>улофиброзная</w:t>
      </w:r>
      <w:proofErr w:type="spellEnd"/>
      <w:r>
        <w:t xml:space="preserve"> (</w:t>
      </w:r>
      <w:proofErr w:type="spellStart"/>
      <w:r>
        <w:t>грубоволокнистая</w:t>
      </w:r>
      <w:proofErr w:type="spellEnd"/>
      <w:r>
        <w:t xml:space="preserve">) и </w:t>
      </w:r>
      <w:r w:rsidRPr="0012187F">
        <w:t>пластинчатая.</w:t>
      </w:r>
      <w:r>
        <w:t xml:space="preserve"> </w:t>
      </w:r>
      <w:r w:rsidRPr="0012187F">
        <w:t xml:space="preserve">Эти разновидности костной ткани различаются по структурным и физическим свойствам, которые обусловлены главным образом строением межклеточного вещества. В </w:t>
      </w:r>
      <w:proofErr w:type="spellStart"/>
      <w:r w:rsidRPr="0012187F">
        <w:t>грубоволокнистой</w:t>
      </w:r>
      <w:proofErr w:type="spellEnd"/>
      <w:r w:rsidRPr="0012187F">
        <w:t xml:space="preserve"> ткани </w:t>
      </w:r>
      <w:proofErr w:type="spellStart"/>
      <w:r w:rsidRPr="0012187F">
        <w:t>коллагеновые</w:t>
      </w:r>
      <w:proofErr w:type="spellEnd"/>
      <w:r w:rsidRPr="0012187F">
        <w:t xml:space="preserve"> волокна образуют толстые пучки, идущие в разных направлениях, а в пластинчатой ткани костное вещество (клетки, волокна, матрикс) образуют системы пластинок.</w:t>
      </w:r>
    </w:p>
    <w:p w:rsidR="00A16BA8" w:rsidRPr="0012187F" w:rsidRDefault="00A16BA8" w:rsidP="00A16BA8">
      <w:pPr>
        <w:pStyle w:val="a0"/>
      </w:pPr>
      <w:r w:rsidRPr="0012187F">
        <w:lastRenderedPageBreak/>
        <w:t>К костной ткани относ</w:t>
      </w:r>
      <w:r>
        <w:t>ятся также дентин и цемент зубов</w:t>
      </w:r>
      <w:r w:rsidRPr="0012187F">
        <w:t xml:space="preserve"> имеющие сходство с костной тканью по высокой степени минерализации межклеточного вещества и опорной, механической функции.</w:t>
      </w:r>
    </w:p>
    <w:p w:rsidR="00A16BA8" w:rsidRPr="0012187F" w:rsidRDefault="00A16BA8" w:rsidP="00A16BA8">
      <w:pPr>
        <w:pStyle w:val="a0"/>
      </w:pPr>
      <w:r w:rsidRPr="0012187F">
        <w:t>Клетки костной ткани: остеобласты, остеоциты и остеокласты. Все они развиваются из мезенхимы, как и</w:t>
      </w:r>
      <w:r>
        <w:t xml:space="preserve"> клетки хрящевой ткани. Точнее</w:t>
      </w:r>
      <w:r w:rsidRPr="0012187F">
        <w:t xml:space="preserve"> из мезенхимных клеток </w:t>
      </w:r>
      <w:proofErr w:type="spellStart"/>
      <w:r w:rsidRPr="0012187F">
        <w:t>склеротома</w:t>
      </w:r>
      <w:proofErr w:type="spellEnd"/>
      <w:r w:rsidRPr="0012187F">
        <w:t xml:space="preserve"> мезодермы. Однако</w:t>
      </w:r>
      <w:r>
        <w:t>,</w:t>
      </w:r>
      <w:r w:rsidRPr="0012187F">
        <w:t xml:space="preserve"> остеобласты и остеоциты связаны в своём </w:t>
      </w:r>
      <w:proofErr w:type="spellStart"/>
      <w:r w:rsidRPr="0012187F">
        <w:t>диффероне</w:t>
      </w:r>
      <w:proofErr w:type="spellEnd"/>
      <w:r w:rsidRPr="0012187F">
        <w:t xml:space="preserve"> так же, как фибробласты и фиброциты</w:t>
      </w:r>
      <w:r>
        <w:t xml:space="preserve"> (или </w:t>
      </w:r>
      <w:proofErr w:type="spellStart"/>
      <w:r>
        <w:t>хондробласты</w:t>
      </w:r>
      <w:proofErr w:type="spellEnd"/>
      <w:r>
        <w:t xml:space="preserve"> и </w:t>
      </w:r>
      <w:proofErr w:type="spellStart"/>
      <w:r>
        <w:t>ходроциты</w:t>
      </w:r>
      <w:proofErr w:type="spellEnd"/>
      <w:r>
        <w:t>),а</w:t>
      </w:r>
      <w:r w:rsidRPr="0012187F">
        <w:t xml:space="preserve"> остеокласты и</w:t>
      </w:r>
      <w:r>
        <w:t>меют иное,</w:t>
      </w:r>
      <w:r w:rsidRPr="0012187F">
        <w:t xml:space="preserve"> гематогенное происхождение.</w:t>
      </w:r>
    </w:p>
    <w:p w:rsidR="00A16BA8" w:rsidRDefault="00A16BA8" w:rsidP="00A16BA8">
      <w:pPr>
        <w:pStyle w:val="a0"/>
      </w:pPr>
      <w:r w:rsidRPr="0012187F">
        <w:t xml:space="preserve">Остеон – система костных пластинок, концентрически расположенных вокруг центрального канала, содержащего сосуды и нервы. Остеоны не прилегают друг к другу вплотную, а промежутки между ними заполнены интерстициальными костными пластинками. Остеоны располагаются не беспорядочно, а соответственно функциональной нагрузке на кость: в трубчатых костях параллельно блиннику кости, в губчатых – перпендикулярно вертикальной оси, в плоских костях параллельно поверхности. Вместе с интерстициальными пластинками остеоны образуют основной средний слой костного вещества, покрытый изнутри (со стороны </w:t>
      </w:r>
      <w:proofErr w:type="spellStart"/>
      <w:r w:rsidRPr="0012187F">
        <w:t>эндоста</w:t>
      </w:r>
      <w:proofErr w:type="spellEnd"/>
      <w:r w:rsidRPr="0012187F">
        <w:t>) внутренним слоем костных пластинок, а</w:t>
      </w:r>
      <w:r>
        <w:t xml:space="preserve"> снаружи (со стороны периоста)</w:t>
      </w:r>
      <w:r w:rsidRPr="0012187F">
        <w:t xml:space="preserve"> наружным слоем окружающих пластинок. Последний пронизан кровеносными сосудами, идущими из надкостницы в костное вещество в особый прободающий канал.  </w:t>
      </w:r>
    </w:p>
    <w:p w:rsidR="00A16BA8" w:rsidRPr="0012187F" w:rsidRDefault="00A16BA8" w:rsidP="00A16BA8">
      <w:pPr>
        <w:pStyle w:val="a0"/>
      </w:pPr>
      <w:r w:rsidRPr="0012187F">
        <w:t xml:space="preserve">Из остеонов состоят более крупные элементы кости, видимые уже невооруженным глазом на </w:t>
      </w:r>
      <w:r>
        <w:t>распиле или на рентгенограмме,</w:t>
      </w:r>
      <w:r w:rsidRPr="0012187F">
        <w:t xml:space="preserve"> перекладины костного вещества, или трабекулы. Из этих трабекул складывается</w:t>
      </w:r>
      <w:r>
        <w:t xml:space="preserve"> двоякого рода костное вещество. Е</w:t>
      </w:r>
      <w:r w:rsidRPr="0012187F">
        <w:t xml:space="preserve">сли трабекулы лежат плотно, то получается плотное компактное вещество. Если трабекулы лежат рыхло, образуя между собою костные ячейки наподобие губки, то получается губчатое, </w:t>
      </w:r>
      <w:proofErr w:type="spellStart"/>
      <w:r w:rsidRPr="0012187F">
        <w:t>трабекулярное</w:t>
      </w:r>
      <w:proofErr w:type="spellEnd"/>
      <w:r w:rsidRPr="0012187F">
        <w:t xml:space="preserve"> вещество. Распределение компактного и губчатого вещества зависит от функциональных условий кости. Компактное вещество находится в тех костях и в тех частях их, которые выполняют преимущественно функцию опоры (стойки) и движения (рычаги), например, в диафизах трубчатых костей.</w:t>
      </w:r>
    </w:p>
    <w:p w:rsidR="00A16BA8" w:rsidRPr="0012187F" w:rsidRDefault="00A16BA8" w:rsidP="00A16BA8">
      <w:pPr>
        <w:pStyle w:val="a0"/>
      </w:pPr>
      <w:r w:rsidRPr="0012187F">
        <w:lastRenderedPageBreak/>
        <w:t xml:space="preserve"> В местах, где при большом объеме требуется сохранить легкость и вместе с тем прочность, образуется губчатое вещество, например, в эпифизах трубчатых костей.</w:t>
      </w:r>
    </w:p>
    <w:p w:rsidR="00A16BA8" w:rsidRDefault="00A16BA8" w:rsidP="00A16BA8">
      <w:pPr>
        <w:pStyle w:val="a0"/>
      </w:pPr>
      <w:r w:rsidRPr="0012187F">
        <w:t>Перекладины губчатого вещества располагаются не беспорядочно, а закономерно, также соответственно функциональным условиям, в которых находится данная кость или ее часть. Поскольку кости испытывают двойное действие</w:t>
      </w:r>
      <w:r>
        <w:t>,</w:t>
      </w:r>
      <w:r w:rsidRPr="0012187F">
        <w:t xml:space="preserve"> давление и тягу мышц, постольку костные перекладины располагаются по линиям сил сжатия и растяжения. Соответственно разному направлению этих сил различные кости или даже части их имеют разное строение. В покровных костях свода черепа, выполняющих преимущественно функцию защиты, губчатое вещество имеет особый характер, отличающий его от остальных костей, несущих все 3 функции скелета. </w:t>
      </w:r>
    </w:p>
    <w:p w:rsidR="00A16BA8" w:rsidRPr="0012187F" w:rsidRDefault="00A16BA8" w:rsidP="00A16BA8">
      <w:pPr>
        <w:pStyle w:val="a0"/>
      </w:pPr>
      <w:r w:rsidRPr="0012187F">
        <w:t>Костные ячейки содержат костный мозг – орган кроветворения и биологической защиты организма. Он участвует также в питании, развитии и росте кости. В трубчатых костях костный мозг находится также в канале этих костей, называемом поэтому костномозговой полостью. [1]</w:t>
      </w:r>
    </w:p>
    <w:p w:rsidR="00A16BA8" w:rsidRDefault="00A16BA8" w:rsidP="00A16BA8">
      <w:pPr>
        <w:pStyle w:val="a0"/>
      </w:pPr>
      <w:r w:rsidRPr="0012187F">
        <w:t>Таким образом, все внутренние пространства кости заполняются костным мозгом, составляющим неотъемлемую часть кости как органа.    Снаружи кость, за исключением суставных поверхностей, покрыта надкостницей. Таким образом, в понятие кости как органа входят костная ткань, образующая главную массу кости (рис 1.1).</w:t>
      </w:r>
    </w:p>
    <w:p w:rsidR="00A16BA8" w:rsidRDefault="00A16BA8" w:rsidP="00A16BA8">
      <w:pPr>
        <w:pStyle w:val="a0"/>
      </w:pPr>
      <w:r w:rsidRPr="0012187F">
        <w:t xml:space="preserve">Кость </w:t>
      </w:r>
      <w:r>
        <w:t xml:space="preserve">— это </w:t>
      </w:r>
      <w:r w:rsidRPr="0012187F">
        <w:t xml:space="preserve">сложный композитный материал, состоящий из кристаллов </w:t>
      </w:r>
      <w:proofErr w:type="spellStart"/>
      <w:r w:rsidRPr="0012187F">
        <w:t>гидроксиапатита</w:t>
      </w:r>
      <w:proofErr w:type="spellEnd"/>
      <w:r w:rsidRPr="0012187F">
        <w:t>,</w:t>
      </w:r>
      <w:r>
        <w:t xml:space="preserve"> </w:t>
      </w:r>
      <w:proofErr w:type="spellStart"/>
      <w:r w:rsidRPr="0012187F">
        <w:t>микрофибрилл</w:t>
      </w:r>
      <w:proofErr w:type="spellEnd"/>
      <w:r w:rsidRPr="0012187F">
        <w:t xml:space="preserve"> коллагена и </w:t>
      </w:r>
      <w:proofErr w:type="spellStart"/>
      <w:r w:rsidRPr="0012187F">
        <w:t>мукополисахаридов</w:t>
      </w:r>
      <w:proofErr w:type="spellEnd"/>
      <w:r w:rsidRPr="0012187F">
        <w:t>, связывающих в единую систему белковый и минеральный компонент кости.</w:t>
      </w:r>
    </w:p>
    <w:p w:rsidR="00A16BA8" w:rsidRPr="0012187F" w:rsidRDefault="00A16BA8" w:rsidP="00A16BA8">
      <w:pPr>
        <w:pStyle w:val="a0"/>
      </w:pPr>
      <w:r w:rsidRPr="0012187F">
        <w:t xml:space="preserve"> Кость представляет собой сложный композитный материал, состоящий из</w:t>
      </w:r>
      <w:r>
        <w:t xml:space="preserve"> </w:t>
      </w:r>
      <w:r w:rsidRPr="0012187F">
        <w:t xml:space="preserve">кристаллов </w:t>
      </w:r>
      <w:proofErr w:type="spellStart"/>
      <w:r w:rsidRPr="0012187F">
        <w:t>гидроксиапатита</w:t>
      </w:r>
      <w:proofErr w:type="spellEnd"/>
      <w:r w:rsidRPr="0012187F">
        <w:t xml:space="preserve"> ,</w:t>
      </w:r>
      <w:proofErr w:type="spellStart"/>
      <w:r w:rsidRPr="0012187F">
        <w:t>микрофибрилл</w:t>
      </w:r>
      <w:proofErr w:type="spellEnd"/>
      <w:r w:rsidRPr="0012187F">
        <w:t xml:space="preserve"> коллагена и</w:t>
      </w:r>
      <w:r>
        <w:t xml:space="preserve"> </w:t>
      </w:r>
      <w:proofErr w:type="spellStart"/>
      <w:r w:rsidRPr="0012187F">
        <w:t>мукополисахаридов</w:t>
      </w:r>
      <w:proofErr w:type="spellEnd"/>
      <w:r w:rsidRPr="0012187F">
        <w:t>,</w:t>
      </w:r>
    </w:p>
    <w:p w:rsidR="00A16BA8" w:rsidRPr="0012187F" w:rsidRDefault="00A16BA8" w:rsidP="00A16BA8">
      <w:pPr>
        <w:pStyle w:val="aa"/>
      </w:pPr>
      <w:r>
        <w:lastRenderedPageBreak/>
        <w:drawing>
          <wp:inline distT="0" distB="0" distL="0" distR="0">
            <wp:extent cx="3019425" cy="3571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pStyle w:val="aa"/>
        <w:spacing w:before="240"/>
        <w:ind w:firstLine="0"/>
        <w:jc w:val="both"/>
      </w:pPr>
      <w:r w:rsidRPr="003A69C1">
        <w:rPr>
          <w:b/>
        </w:rPr>
        <w:t>Рис.1.1.</w:t>
      </w:r>
      <w:r w:rsidRPr="003A69C1">
        <w:t xml:space="preserve"> Строение бедренной кости: 1– эпифиз, 2– метафиз, 3– апофиз, 4– губчатое вещество, 5– диафиз, 6– компактное вещество, 7– костномозговая полость</w:t>
      </w:r>
    </w:p>
    <w:p w:rsidR="00A16BA8" w:rsidRDefault="00A16BA8" w:rsidP="00A16BA8">
      <w:pPr>
        <w:pStyle w:val="a0"/>
      </w:pPr>
    </w:p>
    <w:p w:rsidR="00A16BA8" w:rsidRPr="0012187F" w:rsidRDefault="00A16BA8" w:rsidP="00A16BA8">
      <w:pPr>
        <w:pStyle w:val="a0"/>
        <w:ind w:firstLine="0"/>
      </w:pPr>
      <w:r w:rsidRPr="0012187F">
        <w:t xml:space="preserve">связывающих в единую систему белковый и </w:t>
      </w:r>
      <w:proofErr w:type="spellStart"/>
      <w:r w:rsidRPr="0012187F">
        <w:t>минералный</w:t>
      </w:r>
      <w:proofErr w:type="spellEnd"/>
      <w:r w:rsidRPr="0012187F">
        <w:t xml:space="preserve">  компонент кости.</w:t>
      </w:r>
    </w:p>
    <w:p w:rsidR="00A16BA8" w:rsidRPr="0012187F" w:rsidRDefault="00A16BA8" w:rsidP="00A16BA8">
      <w:pPr>
        <w:pStyle w:val="a0"/>
      </w:pPr>
      <w:r w:rsidRPr="0012187F">
        <w:t>Химический состав кости и ее физические свойства. Костное вещество состоит из двоякого рода химических веществ: органических (1/3)</w:t>
      </w:r>
      <w:r>
        <w:t>,</w:t>
      </w:r>
      <w:r w:rsidRPr="0012187F">
        <w:t xml:space="preserve"> главным образом</w:t>
      </w:r>
      <w:r>
        <w:t>,</w:t>
      </w:r>
      <w:r w:rsidRPr="0012187F">
        <w:t xml:space="preserve"> оссеина, и неорганических (2/3), главным образом солей кальция, особенно фосфорно</w:t>
      </w:r>
      <w:r>
        <w:t xml:space="preserve">кислой извести (более половины </w:t>
      </w:r>
      <w:r w:rsidRPr="0012187F">
        <w:t xml:space="preserve"> 51,04 %). Оссеин костного вещества обладает способностью к фотолюминесценции под воздействием ультрафиолетового излучения, исчезающей при его денатурации фактором, мешающим фотолюминесценции, также является наличие на образце большого количества неорганических загрязнений, в том числе воды или абразивного материала.   Если кость подвергнуть действию раствора кислот (соляной, азотной и др.), то соли извести растворяются (</w:t>
      </w:r>
      <w:proofErr w:type="spellStart"/>
      <w:r w:rsidRPr="0012187F">
        <w:t>decalcinatio</w:t>
      </w:r>
      <w:proofErr w:type="spellEnd"/>
      <w:r w:rsidRPr="0012187F">
        <w:t xml:space="preserve">), а органическое вещество остается и сохраняет форму кости, будучи, однако, мягким и эластичным. Если же кость подвергнуть обжиганию, то органическое вещество сгорает, а неорганическое остается, также сохраняя форму кости и ее твердость, но будучи при этом весьма хрупким. Следовательно, эластичность кости зависит от оссеина, а твердость ее – от минеральных солей. Сочетание неорганических и </w:t>
      </w:r>
      <w:r w:rsidRPr="0012187F">
        <w:lastRenderedPageBreak/>
        <w:t>орга</w:t>
      </w:r>
      <w:r>
        <w:t>нических веществ в живой кости</w:t>
      </w:r>
      <w:r w:rsidRPr="0012187F">
        <w:t xml:space="preserve"> придает ей необычайные крепость</w:t>
      </w:r>
      <w:r>
        <w:t>,</w:t>
      </w:r>
      <w:r w:rsidRPr="0012187F">
        <w:t xml:space="preserve"> и упругость. В этом убеждают и возрастные изменения кости.</w:t>
      </w:r>
    </w:p>
    <w:p w:rsidR="00A16BA8" w:rsidRPr="0012187F" w:rsidRDefault="00A16BA8" w:rsidP="00A16BA8">
      <w:pPr>
        <w:pStyle w:val="2"/>
        <w:spacing w:before="240" w:line="240" w:lineRule="auto"/>
        <w:ind w:firstLine="0"/>
      </w:pPr>
      <w:r w:rsidRPr="0012187F">
        <w:t>1.2</w:t>
      </w:r>
      <w:r>
        <w:t>.</w:t>
      </w:r>
      <w:r w:rsidRPr="0012187F">
        <w:t xml:space="preserve"> Флуоресценция в костных тканях</w:t>
      </w:r>
    </w:p>
    <w:p w:rsidR="00A16BA8" w:rsidRPr="0012187F" w:rsidRDefault="00A16BA8" w:rsidP="00A16BA8">
      <w:pPr>
        <w:pStyle w:val="a0"/>
      </w:pPr>
      <w:r w:rsidRPr="0012187F">
        <w:t>Флуоресценция – это испускание, происходящее при возвращении спаренного электрона на более низкую</w:t>
      </w:r>
      <w:r>
        <w:t xml:space="preserve"> </w:t>
      </w:r>
      <w:proofErr w:type="spellStart"/>
      <w:r w:rsidRPr="0012187F">
        <w:t>орбиталь</w:t>
      </w:r>
      <w:proofErr w:type="spellEnd"/>
      <w:r w:rsidRPr="0012187F">
        <w:t>. Спектр испускания вещества представляет собой зависимость интенсивности испускания от длины волны при фиксированной длине волны возбуждения света.</w:t>
      </w:r>
    </w:p>
    <w:p w:rsidR="00A16BA8" w:rsidRPr="0012187F" w:rsidRDefault="00A16BA8" w:rsidP="00A16BA8">
      <w:pPr>
        <w:pStyle w:val="a0"/>
      </w:pPr>
      <w:r w:rsidRPr="0012187F">
        <w:t xml:space="preserve">Многие молекулы костных тканей являются природными или естественными </w:t>
      </w:r>
      <w:proofErr w:type="spellStart"/>
      <w:r w:rsidRPr="0012187F">
        <w:t>флуорофорами</w:t>
      </w:r>
      <w:proofErr w:type="spellEnd"/>
      <w:r w:rsidRPr="0012187F">
        <w:t>, т. е. веществами, способными флуоресцировать в определенном диапазоне длин волн при соответствующих условиях возбуждения, например</w:t>
      </w:r>
      <w:r>
        <w:t>,</w:t>
      </w:r>
      <w:r w:rsidRPr="0012187F">
        <w:t xml:space="preserve"> белки. Установлено, что флуоресцировать в белках способны только ароматические аминокислоты, обладающие системой сопряженных двойных связей. Основным флуоресцирующим компонентом в них является триптофан, который обусловливает около 90% всей белковой флуоресценции. Спектр флуоресценции триптофана в водном растворе представляет собой широкую бесструктурную полосу с максимумом при 348 нм и полушириной в 60 мкм, а его форма и положение максимума определяются преимущественно </w:t>
      </w:r>
      <w:proofErr w:type="spellStart"/>
      <w:r w:rsidRPr="0012187F">
        <w:t>индольным</w:t>
      </w:r>
      <w:proofErr w:type="spellEnd"/>
      <w:r>
        <w:t xml:space="preserve"> </w:t>
      </w:r>
      <w:r w:rsidRPr="0012187F">
        <w:t>кольцом молекулы. Триптофан</w:t>
      </w:r>
      <w:r>
        <w:t xml:space="preserve"> </w:t>
      </w:r>
      <w:r w:rsidRPr="0012187F">
        <w:t>содержащие белки поглощают свет вблизи 280 нм, а спектры флуоресценции сдвинуты в коротковолновую сторону по сравнению со спектрами триптофана в воде. Соответственно значения их максимумов могут изменяться от 343 нм (сывороточный альбумин) до 308 нм (</w:t>
      </w:r>
      <w:proofErr w:type="spellStart"/>
      <w:r w:rsidRPr="0012187F">
        <w:t>азурин</w:t>
      </w:r>
      <w:proofErr w:type="spellEnd"/>
      <w:r w:rsidRPr="0012187F">
        <w:t>). Основной причиной этого является наличие процессов ориентационного взаимодействия, при которых положение спектра определяется полярностью и жесткостью микроокружения   хромофора.   Сдвиг максимума в коротковолновую</w:t>
      </w:r>
      <w:r>
        <w:t xml:space="preserve"> </w:t>
      </w:r>
      <w:r w:rsidRPr="0012187F">
        <w:t xml:space="preserve">область характерен для малополярного окружения, в длинноволновую – для полярного. Максимумы испускания белков отражают среднюю доступность их </w:t>
      </w:r>
      <w:proofErr w:type="spellStart"/>
      <w:r w:rsidRPr="0012187F">
        <w:t>триптофановых</w:t>
      </w:r>
      <w:proofErr w:type="spellEnd"/>
      <w:r w:rsidRPr="0012187F">
        <w:t xml:space="preserve"> остатков в водной фазе. Некоторое влияние на положение спектров оказывает </w:t>
      </w:r>
      <w:proofErr w:type="spellStart"/>
      <w:r w:rsidRPr="0012187F">
        <w:t>комплексообразование</w:t>
      </w:r>
      <w:proofErr w:type="spellEnd"/>
      <w:r w:rsidRPr="0012187F">
        <w:t xml:space="preserve"> с окружающими соединениями. Спектральные сдвиги часто являются следствием связывания </w:t>
      </w:r>
      <w:proofErr w:type="spellStart"/>
      <w:r w:rsidRPr="0012187F">
        <w:t>лигандов</w:t>
      </w:r>
      <w:proofErr w:type="spellEnd"/>
      <w:r w:rsidRPr="0012187F">
        <w:t xml:space="preserve">, ассоциации «белок–белок» и денатурации. </w:t>
      </w:r>
      <w:proofErr w:type="spellStart"/>
      <w:r w:rsidRPr="0012187F">
        <w:t>Конформационно</w:t>
      </w:r>
      <w:proofErr w:type="spellEnd"/>
      <w:r w:rsidRPr="0012187F">
        <w:t xml:space="preserve">–чувствительными </w:t>
      </w:r>
      <w:r w:rsidRPr="0012187F">
        <w:lastRenderedPageBreak/>
        <w:t>оказались и другие параметры флуоресценции триптофан–содержащих белков: квантовый выход, длительность возбужденного состояния, степень поляризации.</w:t>
      </w:r>
    </w:p>
    <w:p w:rsidR="00A16BA8" w:rsidRDefault="00A16BA8" w:rsidP="00A16BA8">
      <w:pPr>
        <w:pStyle w:val="a0"/>
      </w:pPr>
      <w:r w:rsidRPr="0012187F">
        <w:t xml:space="preserve">Флуоресценция белков, не содержащих остатков триптофана, но имеющих в своем составе </w:t>
      </w:r>
      <w:proofErr w:type="spellStart"/>
      <w:r w:rsidRPr="0012187F">
        <w:t>фенилаланин</w:t>
      </w:r>
      <w:proofErr w:type="spellEnd"/>
      <w:r w:rsidRPr="0012187F">
        <w:t xml:space="preserve"> и тирозин, обусловлена только остатками тирозина, который также является природным </w:t>
      </w:r>
      <w:proofErr w:type="spellStart"/>
      <w:r w:rsidRPr="0012187F">
        <w:t>флуорофором</w:t>
      </w:r>
      <w:proofErr w:type="spellEnd"/>
      <w:r w:rsidRPr="0012187F">
        <w:t xml:space="preserve"> и имеет максимум спектра флуоресценции при 303–304 нм, а его интенсивность на порядок ниже, чем у триптофана. </w:t>
      </w:r>
    </w:p>
    <w:p w:rsidR="00A16BA8" w:rsidRDefault="00A16BA8" w:rsidP="00A16BA8">
      <w:pPr>
        <w:pStyle w:val="a0"/>
      </w:pPr>
      <w:r w:rsidRPr="0012187F">
        <w:t xml:space="preserve">На положении максимума флуоресценции тирозина, в отличие от триптофана, не сказываются </w:t>
      </w:r>
      <w:proofErr w:type="spellStart"/>
      <w:r w:rsidRPr="0012187F">
        <w:t>конформационные</w:t>
      </w:r>
      <w:proofErr w:type="spellEnd"/>
      <w:r w:rsidRPr="0012187F">
        <w:t xml:space="preserve"> перестройки макромолекулы. Тирозин интенсивно флуоресцирует в растворе и при денатурации белков, сохраняя положение максимума. </w:t>
      </w:r>
    </w:p>
    <w:p w:rsidR="00A16BA8" w:rsidRPr="0012187F" w:rsidRDefault="00A16BA8" w:rsidP="00A16BA8">
      <w:pPr>
        <w:pStyle w:val="a0"/>
      </w:pPr>
      <w:r w:rsidRPr="0012187F">
        <w:t xml:space="preserve">Его включение в состав белка сопровождается лишь эффектом тушения флуоресценции и падением квантового выхода. Свечение </w:t>
      </w:r>
      <w:proofErr w:type="spellStart"/>
      <w:r w:rsidRPr="0012187F">
        <w:t>фенилаланина</w:t>
      </w:r>
      <w:proofErr w:type="spellEnd"/>
      <w:r w:rsidRPr="0012187F">
        <w:t xml:space="preserve"> можно наблюдать только у тех немногих белков, которые не содержат других ароматических аминокислот – триптофана и тирозина (например, </w:t>
      </w:r>
      <w:proofErr w:type="spellStart"/>
      <w:r w:rsidRPr="0012187F">
        <w:t>преальбумин</w:t>
      </w:r>
      <w:proofErr w:type="spellEnd"/>
      <w:r w:rsidRPr="0012187F">
        <w:t xml:space="preserve"> мышц рыбы, </w:t>
      </w:r>
      <w:proofErr w:type="spellStart"/>
      <w:r w:rsidRPr="0012187F">
        <w:t>гепатокупреин</w:t>
      </w:r>
      <w:proofErr w:type="spellEnd"/>
      <w:r w:rsidRPr="0012187F">
        <w:t xml:space="preserve"> лошади, </w:t>
      </w:r>
      <w:proofErr w:type="spellStart"/>
      <w:r w:rsidRPr="0012187F">
        <w:t>рибосомальный</w:t>
      </w:r>
      <w:proofErr w:type="spellEnd"/>
      <w:r w:rsidRPr="0012187F">
        <w:t xml:space="preserve"> белок). Спектр флуоресценции </w:t>
      </w:r>
      <w:proofErr w:type="spellStart"/>
      <w:r w:rsidRPr="0012187F">
        <w:t>фенилаланина</w:t>
      </w:r>
      <w:proofErr w:type="spellEnd"/>
      <w:r w:rsidRPr="0012187F">
        <w:t xml:space="preserve"> имеет максимум при 282 нм, и его квантовый выход еще на порядок ниже, чем у тирозина.</w:t>
      </w:r>
      <w:r>
        <w:t xml:space="preserve"> Е</w:t>
      </w:r>
      <w:r w:rsidRPr="0012187F">
        <w:t xml:space="preserve">сли в состав белка входят все три аминокислоты, то в спектре флуоресценции проявляется только один </w:t>
      </w:r>
      <w:proofErr w:type="spellStart"/>
      <w:r w:rsidRPr="0012187F">
        <w:t>триптофановый</w:t>
      </w:r>
      <w:proofErr w:type="spellEnd"/>
      <w:r w:rsidRPr="0012187F">
        <w:t xml:space="preserve"> максимум. Даже в сывороточном альбумине человека, содержащем 17 остатков тирозина и только один остаток триптофана, свечение тирозина проявляется лишь в виде «плеча» на коротковолновом склоне полосы флуоресценции триптофана. Оказывается, что значительная доля энергии</w:t>
      </w:r>
      <w:r>
        <w:t xml:space="preserve"> </w:t>
      </w:r>
      <w:r w:rsidRPr="0012187F">
        <w:t xml:space="preserve">возбуждения, полученная </w:t>
      </w:r>
      <w:proofErr w:type="spellStart"/>
      <w:r w:rsidRPr="0012187F">
        <w:t>тирозиновыми</w:t>
      </w:r>
      <w:proofErr w:type="spellEnd"/>
      <w:r>
        <w:t xml:space="preserve"> </w:t>
      </w:r>
      <w:r w:rsidRPr="0012187F">
        <w:t xml:space="preserve">остатками, может мигрировать на </w:t>
      </w:r>
      <w:proofErr w:type="spellStart"/>
      <w:r w:rsidRPr="0012187F">
        <w:t>триптофанилы</w:t>
      </w:r>
      <w:proofErr w:type="spellEnd"/>
      <w:r w:rsidRPr="0012187F">
        <w:t xml:space="preserve"> и высвечиваться в качестве </w:t>
      </w:r>
      <w:proofErr w:type="spellStart"/>
      <w:r w:rsidRPr="0012187F">
        <w:t>триптофанового</w:t>
      </w:r>
      <w:proofErr w:type="spellEnd"/>
      <w:r w:rsidRPr="0012187F">
        <w:t xml:space="preserve"> компонента.</w:t>
      </w:r>
      <w:r>
        <w:t xml:space="preserve"> </w:t>
      </w:r>
      <w:r w:rsidRPr="0012187F">
        <w:t>К природным</w:t>
      </w:r>
      <w:r>
        <w:t xml:space="preserve"> </w:t>
      </w:r>
      <w:proofErr w:type="spellStart"/>
      <w:r w:rsidRPr="0012187F">
        <w:t>флуорофорам</w:t>
      </w:r>
      <w:proofErr w:type="spellEnd"/>
      <w:r w:rsidRPr="0012187F">
        <w:t xml:space="preserve"> относятся также нуклеиновые кислоты, коферменты и витамины, продукты окисления и пигменты. При обычных условиях водные растворы флуоресцируют слабо, с низким квантовым выходом. Например, для растворов нуклеиновых кислот свечение усиливается в кислой среде. Положение максимума флуоресценции различно для разных веществ, например для ДНК </w:t>
      </w:r>
      <w:r w:rsidRPr="0012187F">
        <w:lastRenderedPageBreak/>
        <w:t xml:space="preserve">составляет 358 нм и совпадает с максимумом гуанина. Увеличение интенсивности флуоресценции оснований нуклеиновых кислот происходит также при низкой температуре. Примером свечения коферментов и витаминов может служить флуоресценция </w:t>
      </w:r>
      <w:proofErr w:type="spellStart"/>
      <w:r w:rsidRPr="0012187F">
        <w:t>пиридиннуклеотидов</w:t>
      </w:r>
      <w:proofErr w:type="spellEnd"/>
      <w:r w:rsidRPr="0012187F">
        <w:t xml:space="preserve"> – </w:t>
      </w:r>
      <w:proofErr w:type="spellStart"/>
      <w:r w:rsidRPr="0012187F">
        <w:t>никотинамидадениндинуклеотида</w:t>
      </w:r>
      <w:proofErr w:type="spellEnd"/>
      <w:r w:rsidRPr="0012187F">
        <w:t xml:space="preserve"> в восстановленной форме (в водном растворе имеет максимум при 470 нм) и витамина А (максимум флуоресценции при 510 нм в этаноле) [2].</w:t>
      </w:r>
    </w:p>
    <w:p w:rsidR="00A16BA8" w:rsidRPr="00A16BA8" w:rsidRDefault="00A16BA8" w:rsidP="00A16BA8">
      <w:pPr>
        <w:pStyle w:val="2"/>
        <w:spacing w:before="240"/>
        <w:ind w:firstLine="0"/>
        <w:jc w:val="both"/>
      </w:pPr>
      <w:r w:rsidRPr="00A16BA8">
        <w:t>1.3. Фотолюминесценция коллагена</w:t>
      </w:r>
    </w:p>
    <w:p w:rsidR="00A16BA8" w:rsidRPr="00A16BA8" w:rsidRDefault="00A16BA8" w:rsidP="00A16BA8">
      <w:pPr>
        <w:pStyle w:val="a0"/>
      </w:pPr>
      <w:r w:rsidRPr="00A16BA8">
        <w:t xml:space="preserve">Способность костной ткани, а именно коллагена в ней, к </w:t>
      </w:r>
      <w:proofErr w:type="spellStart"/>
      <w:r w:rsidRPr="00A16BA8">
        <w:t>фотофлуоресценции</w:t>
      </w:r>
      <w:proofErr w:type="spellEnd"/>
      <w:r w:rsidRPr="00A16BA8">
        <w:t xml:space="preserve"> позволяет с помощью </w:t>
      </w:r>
      <w:r w:rsidRPr="00A16BA8">
        <w:rPr>
          <w:i/>
        </w:rPr>
        <w:t xml:space="preserve">макроскопического флуоресцентный анализа </w:t>
      </w:r>
      <w:r w:rsidRPr="00A16BA8">
        <w:t>определить степень микробиологического разложения (фоссилизации) костного материала.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Коллаген – это основной структурный протеин организма, который состоит из трех протеиновых цепочек, которые соединяются в виде тройной спирали. Эта уникальная структура делает коллаген прочнее стали. Примерно 33 %  протеинов в теле – это коллаген. Этот протеин поддерживает ткани и органы и соединяет эти структуры с костями. Костная ткань в сочетании с определенными минералами (кальций, фосфор) так же состоят из коллагена.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Коллаген играет ключевую роль в обеспечении структурной поддержки окружающих клеток, которая помогает сохранять форму клеток и их дифференциацию, так же как стальные прутья упрочняют бетонные блоки. Кольцеобразная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коллагеновая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сеть связывает клетки и обеспечивает поддерживающую среду, в которой клетки развиваются и функционируют, а ткани и кости срастаются.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Молекула коллагена представляет собой правозакрученную спираль из трёх α–цепей. Такое образование известно под названием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тропоколлаген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. Один виток спирали α–цепи содержит три аминокислотных остатка. Молекулярная масса коллагена около 300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кДа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, длина 300 нм, толщина 1,5 нм.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Для первичной структуры белка характерно высокое содержание глицина, низкое содержание серосодержащих аминокислот и отсутствие триптофана. Коллаген </w:t>
      </w:r>
      <w:r w:rsidRPr="00A16BA8">
        <w:rPr>
          <w:rFonts w:ascii="Times New Roman" w:hAnsi="Times New Roman" w:cs="Times New Roman"/>
          <w:sz w:val="28"/>
          <w:szCs w:val="28"/>
        </w:rPr>
        <w:lastRenderedPageBreak/>
        <w:t>относится к тем немногим белкам животного происхождения, которые содержат остатки нестандартных аминокислот: около 21 % от общего числа остатков приходится на 3–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гидроксипролин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, 4–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гидроксипролин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и 5–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гидроксилизин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. Каждая из α–цепей состоит из триад аминокислот. В триадах третья аминокислота всегда глицин, вторая —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пролин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или лизин, первая — любая другая аминокислота, кроме трёх перечисленных.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Тропоколлаген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(структурные единицы коллагена) спонтанно объединяются, прикрепляясь друг к другу смещенными на определенное расстояние концами, образуя в межклеточном веществе более крупные структуры. В фибриллярных коллагенах молекулы смещены относительно друг друга примерно на 67нм (единица, которая обозначается буквой «D» и меняется в зависимости от состояния гидратации вещества). В целом каждый D-период содержит четыре целых и часть пятой молекулы коллагена. Величина 300 нм, поделенная на 67 нм (300:67) не дают целого числа и длина молекулы коллагена разделена на непостоянные по величине отрезки D, следовательно, в разрезе каждого повтора D –периода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микрофибриллы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есть часть, состоящая из пяти молекул называемая «перекрытие», и часть, состоящая из четырех молекул «разрыв».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Тропоколлагены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к тому же скомпонованы в шестиугольную или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псевдошестиугольную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(в поперечном разрезе) конструкцию, в каждой области «перекрытия» и «разрыва» [4].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тропоколлагенов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существует ковалентная связь между цепями, а также некоторое непостоянное количество данных связей между самими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тропоколагеновыми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спиралями, образующими хорошо организованные структуры (например, фибриллы). Более толстые пучки фибрилл формируются с помощью белков нескольких других классов, включая другие типы коллагенов, гликопротеины,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протеогликаны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, использующихся для формирования различных типов тканей из разных комбинаций одних и тех же основных белков. Нерастворимость коллагена была препятствием к изучению мономера коллагена, до того момента как было обнаружено, что возможно извлечь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тропоколлаген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</w:t>
      </w:r>
      <w:r w:rsidRPr="00A16BA8">
        <w:rPr>
          <w:rFonts w:ascii="Times New Roman" w:hAnsi="Times New Roman" w:cs="Times New Roman"/>
          <w:sz w:val="28"/>
          <w:szCs w:val="28"/>
        </w:rPr>
        <w:lastRenderedPageBreak/>
        <w:t>молодого животного, поскольку он еще не образовал сильных связей с другими субъединицами фибриллы. Эти поздние открытия очень важны для лучшего понимания того, как структура коллагена влияет на связи между клетками и межклеточным веществом, как ткани меняются во время роста и регенерации, как они меняются во время эмбрионального развития и при патологии.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Коллагеновая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фибрилла — это полукристаллическая структурная единица коллагена.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Коллагеновые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волокна — это пучки фибрилл.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Синтез коллагена происходит постоянно в ходе нашей жизни для восстановления и замены поврежденных тканей коллагена или создания новых клеточных структур. 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Деградация или переработка старого, или поврежденного коллагена является здоровым, естественным процессом, который используется для создания протеиновых фрагментов, необходимых для создания новых клеточных структур, например, в процессе заживления. С возрастом уровни коллагена уменьшаются 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из–за снижения выработки и увеличения деградации.</w:t>
      </w:r>
    </w:p>
    <w:p w:rsidR="00A16BA8" w:rsidRPr="00A16BA8" w:rsidRDefault="00A16BA8" w:rsidP="00A16BA8">
      <w:pPr>
        <w:pStyle w:val="a0"/>
      </w:pPr>
      <w:r w:rsidRPr="00A16BA8">
        <w:t>При минерализации (фоссилизации) происходит разложение органического</w:t>
      </w:r>
    </w:p>
    <w:p w:rsidR="00A16BA8" w:rsidRPr="00A16BA8" w:rsidRDefault="00A16BA8" w:rsidP="00A16BA8">
      <w:pPr>
        <w:pStyle w:val="a0"/>
        <w:ind w:firstLine="0"/>
      </w:pPr>
      <w:r w:rsidRPr="00A16BA8">
        <w:t xml:space="preserve">компонента кости и замещение </w:t>
      </w:r>
      <w:proofErr w:type="spellStart"/>
      <w:r w:rsidRPr="00A16BA8">
        <w:t>гидроксиапатита</w:t>
      </w:r>
      <w:proofErr w:type="spellEnd"/>
      <w:r w:rsidRPr="00A16BA8">
        <w:t xml:space="preserve"> апатитом и солями тяжёлых металлов. Так как это процесс происходит при участии </w:t>
      </w:r>
      <w:proofErr w:type="spellStart"/>
      <w:r w:rsidRPr="00A16BA8">
        <w:t>сапротрофных</w:t>
      </w:r>
      <w:proofErr w:type="spellEnd"/>
      <w:r w:rsidRPr="00A16BA8">
        <w:t xml:space="preserve"> бактерий, в </w:t>
      </w:r>
      <w:proofErr w:type="spellStart"/>
      <w:r w:rsidRPr="00A16BA8">
        <w:t>фоссилизированных</w:t>
      </w:r>
      <w:proofErr w:type="spellEnd"/>
      <w:r w:rsidRPr="00A16BA8">
        <w:t xml:space="preserve"> костях могут накапливаться биологические материалы бактериального происхождения.</w:t>
      </w:r>
    </w:p>
    <w:p w:rsidR="00A16BA8" w:rsidRPr="00A16BA8" w:rsidRDefault="00A16BA8" w:rsidP="00A16BA8">
      <w:pPr>
        <w:pStyle w:val="a0"/>
      </w:pPr>
      <w:r w:rsidRPr="00A16BA8">
        <w:t xml:space="preserve">Коллаген относят к флуоресцентным белкам II класса. Его способность к флуоресценции определяется наличием в структуре ароматических аминокислот: тирозина и </w:t>
      </w:r>
      <w:proofErr w:type="spellStart"/>
      <w:r w:rsidRPr="00A16BA8">
        <w:t>фенилаланина</w:t>
      </w:r>
      <w:proofErr w:type="spellEnd"/>
      <w:r w:rsidRPr="00A16BA8">
        <w:t>. Денатурация флуоресцентных белков всегда сопровождается потерей способности к флуоресценции. При освещении ультрафиолетовой лампой, участки кости, в которых сохраняется вторичная структура коллагена, флуоресцируют ярко–</w:t>
      </w:r>
      <w:proofErr w:type="spellStart"/>
      <w:r w:rsidRPr="00A16BA8">
        <w:t>голубым</w:t>
      </w:r>
      <w:proofErr w:type="spellEnd"/>
      <w:r w:rsidRPr="00A16BA8">
        <w:t xml:space="preserve"> светом, резко </w:t>
      </w:r>
      <w:proofErr w:type="spellStart"/>
      <w:r w:rsidRPr="00A16BA8">
        <w:t>контрастиующим</w:t>
      </w:r>
      <w:proofErr w:type="spellEnd"/>
      <w:r w:rsidRPr="00A16BA8">
        <w:t xml:space="preserve"> как с бурой окраской </w:t>
      </w:r>
      <w:proofErr w:type="spellStart"/>
      <w:r w:rsidRPr="00A16BA8">
        <w:t>фоссилизированной</w:t>
      </w:r>
      <w:proofErr w:type="spellEnd"/>
      <w:r w:rsidRPr="00A16BA8">
        <w:t xml:space="preserve"> кости, так и с </w:t>
      </w:r>
      <w:proofErr w:type="spellStart"/>
      <w:r w:rsidRPr="00A16BA8">
        <w:lastRenderedPageBreak/>
        <w:t>нерганическими</w:t>
      </w:r>
      <w:proofErr w:type="spellEnd"/>
      <w:r w:rsidRPr="00A16BA8">
        <w:t xml:space="preserve"> веществами, дающими тёмно–фиолетовую или красно–фиолетовую флуоресценцию.</w:t>
      </w:r>
    </w:p>
    <w:p w:rsidR="00A16BA8" w:rsidRPr="00A16BA8" w:rsidRDefault="00A16BA8" w:rsidP="00A16BA8">
      <w:pPr>
        <w:spacing w:line="360" w:lineRule="auto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A16BA8">
        <w:rPr>
          <w:rStyle w:val="a7"/>
          <w:rFonts w:ascii="Times New Roman" w:hAnsi="Times New Roman"/>
          <w:i w:val="0"/>
          <w:sz w:val="28"/>
          <w:szCs w:val="28"/>
        </w:rPr>
        <w:t xml:space="preserve">Способность коллагена к ультрафиолетовой флуоресценции позволяет контролировать процесс минерализации скелетного материала, и выявить участки кости  пригодные  для  дальнейших  биохимических   и   генетических   исследований. </w:t>
      </w:r>
      <w:r w:rsidRPr="00A16BA8">
        <w:rPr>
          <w:rFonts w:ascii="Times New Roman" w:hAnsi="Times New Roman" w:cs="Times New Roman"/>
          <w:sz w:val="28"/>
          <w:szCs w:val="28"/>
        </w:rPr>
        <w:t xml:space="preserve">Эта способность обусловлено наличием в структуре белка аминокислот тирозина 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фенилаланина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. При фоссилизации (минерализации кости) происходит разрушение третичной структуры коллагена, сопровождающееся потерей способности к люминесценции,  поэтому,  оценивая  ультрафиолетовую  люминесценцию  кости, мы определяем степень сохранности коллагена</w:t>
      </w:r>
      <w:r w:rsidRPr="00A16BA8">
        <w:rPr>
          <w:rStyle w:val="a7"/>
          <w:rFonts w:ascii="Times New Roman" w:hAnsi="Times New Roman"/>
          <w:i w:val="0"/>
          <w:sz w:val="28"/>
          <w:szCs w:val="28"/>
        </w:rPr>
        <w:t>[3].</w:t>
      </w:r>
    </w:p>
    <w:p w:rsidR="00A16BA8" w:rsidRPr="00A16BA8" w:rsidRDefault="00A16BA8" w:rsidP="00A16BA8">
      <w:pPr>
        <w:spacing w:before="240" w:after="24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16BA8">
        <w:rPr>
          <w:rFonts w:ascii="Times New Roman" w:hAnsi="Times New Roman" w:cs="Times New Roman"/>
          <w:b/>
          <w:sz w:val="28"/>
          <w:szCs w:val="28"/>
        </w:rPr>
        <w:t>1.4. Методика определения степени сохранности коллагена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Данный метод заключается в следующем: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        1. В интересующих местах делаются распилы изучаемых костей толщиной 5 – </w:t>
      </w:r>
      <w:smartTag w:uri="urn:schemas-microsoft-com:office:smarttags" w:element="metricconverter">
        <w:smartTagPr>
          <w:attr w:name="ProductID" w:val="10 мм"/>
        </w:smartTagPr>
        <w:r w:rsidRPr="00A16BA8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A16BA8">
        <w:rPr>
          <w:rFonts w:ascii="Times New Roman" w:hAnsi="Times New Roman" w:cs="Times New Roman"/>
          <w:sz w:val="28"/>
          <w:szCs w:val="28"/>
        </w:rPr>
        <w:t>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2. Распилы шлифуются на шлифовальных кругах убывающей зернистости. 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3. Распилы и шлифовка проводятся на шлифовальной машине ШМ–1 с использованием отрезных дисков и шлифовальных кругов, применяемых в стоматологии.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4. Проводится цифровая фотосъёмка шлифа при обычном и ультрафиолетовом освещении. Для чего: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4.2. Проводится фокусировка камеры при обычном освещении,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4.3. Проводится блокировка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автофокуса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,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4.4. Проводится съёмка шлифа при обычном освещении,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4.5.  Проводится съёмка шлифа при освещении диагностическим осветителем ОЛД–41(рис. 1.1).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lastRenderedPageBreak/>
        <w:t xml:space="preserve">5. Далее с помощью программы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AdobePhotoshop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 определяется процент сохранности коллагена кости. Для чего: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5.1. С помощью инструмента «Лассо»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оконтуривается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поперечный срез компактного вещества кости, при этом в контур не включаются проекция боковой поверхности кости, которая может оказаться на фотографии, костный канал и губчатое вещество кости (рис. 1.2).</w:t>
      </w:r>
    </w:p>
    <w:p w:rsidR="00A16BA8" w:rsidRPr="0012187F" w:rsidRDefault="00A16BA8" w:rsidP="00A16BA8">
      <w:pPr>
        <w:pStyle w:val="aa"/>
      </w:pPr>
      <w:r>
        <w:drawing>
          <wp:inline distT="0" distB="0" distL="0" distR="0">
            <wp:extent cx="2714625" cy="2343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4F7ADA" w:rsidRDefault="00A16BA8" w:rsidP="00A16BA8">
      <w:pPr>
        <w:pStyle w:val="aa"/>
        <w:ind w:firstLine="0"/>
        <w:jc w:val="both"/>
        <w:rPr>
          <w:sz w:val="28"/>
        </w:rPr>
      </w:pPr>
      <w:r w:rsidRPr="003A69C1">
        <w:rPr>
          <w:b/>
        </w:rPr>
        <w:t>Рис. 1.2.</w:t>
      </w:r>
      <w:r w:rsidRPr="003A69C1">
        <w:t xml:space="preserve">  Поперечный  шлиф медиального участка бедренной кости. Съёмка при ультрафиолетовом освещении</w:t>
      </w:r>
    </w:p>
    <w:p w:rsidR="00A16BA8" w:rsidRDefault="00A16BA8" w:rsidP="00A16BA8"/>
    <w:p w:rsidR="00A16BA8" w:rsidRPr="00A16BA8" w:rsidRDefault="00A16BA8" w:rsidP="00A16BA8">
      <w:pPr>
        <w:rPr>
          <w:rFonts w:ascii="Times New Roman" w:hAnsi="Times New Roman" w:cs="Times New Roman"/>
          <w:sz w:val="28"/>
        </w:rPr>
      </w:pPr>
      <w:r w:rsidRPr="00A16BA8">
        <w:rPr>
          <w:rFonts w:ascii="Times New Roman" w:hAnsi="Times New Roman" w:cs="Times New Roman"/>
          <w:sz w:val="28"/>
        </w:rPr>
        <w:t>6. Создание черно–белого изображения.</w:t>
      </w:r>
    </w:p>
    <w:p w:rsidR="00A16BA8" w:rsidRDefault="00A16BA8" w:rsidP="00A16BA8">
      <w:r w:rsidRPr="00A16BA8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582930</wp:posOffset>
            </wp:positionV>
            <wp:extent cx="3790950" cy="2771775"/>
            <wp:effectExtent l="19050" t="0" r="0" b="0"/>
            <wp:wrapNone/>
            <wp:docPr id="10" name="Рисунок 45" descr="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П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BA8">
        <w:rPr>
          <w:rFonts w:ascii="Times New Roman" w:hAnsi="Times New Roman" w:cs="Times New Roman"/>
          <w:sz w:val="28"/>
        </w:rPr>
        <w:t>6.1. В меню «Изображение» выбирается подменю «Настройки» и пункт «Уровни» (рис. 1.3</w:t>
      </w:r>
      <w:r w:rsidRPr="0012187F">
        <w:t>).</w:t>
      </w:r>
    </w:p>
    <w:p w:rsidR="00A16BA8" w:rsidRPr="0012187F" w:rsidRDefault="00A16BA8" w:rsidP="00A16BA8">
      <w:pPr>
        <w:pStyle w:val="a8"/>
      </w:pPr>
      <w:bookmarkStart w:id="0" w:name="_GoBack"/>
      <w:bookmarkEnd w:id="0"/>
    </w:p>
    <w:p w:rsidR="00A16BA8" w:rsidRPr="0012187F" w:rsidRDefault="00A16BA8" w:rsidP="00A16BA8">
      <w:pPr>
        <w:pStyle w:val="aa"/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</w:pPr>
      <w:r w:rsidRPr="003A69C1">
        <w:rPr>
          <w:b/>
        </w:rPr>
        <w:t>Рис. 1.3.</w:t>
      </w:r>
      <w:r w:rsidRPr="003A69C1">
        <w:t xml:space="preserve"> Оконтуривание при помощи инструмента «Лассо»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</w:rPr>
      </w:pPr>
      <w:r w:rsidRPr="00A16BA8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768350</wp:posOffset>
            </wp:positionV>
            <wp:extent cx="4181475" cy="3629025"/>
            <wp:effectExtent l="19050" t="0" r="9525" b="0"/>
            <wp:wrapNone/>
            <wp:docPr id="9" name="Рисунок 46" descr="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П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BA8">
        <w:rPr>
          <w:rFonts w:ascii="Times New Roman" w:hAnsi="Times New Roman" w:cs="Times New Roman"/>
          <w:sz w:val="28"/>
        </w:rPr>
        <w:t xml:space="preserve">6.2. С помощью инструмента “пипетка” в качестве белого цвета выбирается цвет флюоресцирующего коллагена – самый яркий </w:t>
      </w:r>
      <w:proofErr w:type="spellStart"/>
      <w:r w:rsidRPr="00A16BA8">
        <w:rPr>
          <w:rFonts w:ascii="Times New Roman" w:hAnsi="Times New Roman" w:cs="Times New Roman"/>
          <w:sz w:val="28"/>
        </w:rPr>
        <w:t>голубой</w:t>
      </w:r>
      <w:proofErr w:type="spellEnd"/>
      <w:r w:rsidRPr="00A16BA8">
        <w:rPr>
          <w:rFonts w:ascii="Times New Roman" w:hAnsi="Times New Roman" w:cs="Times New Roman"/>
          <w:sz w:val="28"/>
        </w:rPr>
        <w:t xml:space="preserve"> цвет фотографии (рис. 1.4).</w:t>
      </w:r>
    </w:p>
    <w:p w:rsidR="00A16BA8" w:rsidRPr="0012187F" w:rsidRDefault="00A16BA8" w:rsidP="00A16BA8">
      <w:pPr>
        <w:pStyle w:val="a8"/>
      </w:pPr>
    </w:p>
    <w:p w:rsidR="00A16BA8" w:rsidRPr="003A69C1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Pr="0012187F" w:rsidRDefault="00A16BA8" w:rsidP="00A16BA8">
      <w:pPr>
        <w:pStyle w:val="aa"/>
      </w:pPr>
    </w:p>
    <w:p w:rsidR="00A16BA8" w:rsidRDefault="00A16BA8" w:rsidP="00A16BA8">
      <w:pPr>
        <w:pStyle w:val="aa"/>
        <w:spacing w:before="240"/>
        <w:rPr>
          <w:b/>
        </w:rPr>
      </w:pPr>
    </w:p>
    <w:p w:rsidR="00A16BA8" w:rsidRDefault="00A16BA8" w:rsidP="00A16BA8">
      <w:pPr>
        <w:pStyle w:val="aa"/>
        <w:spacing w:before="240"/>
        <w:rPr>
          <w:b/>
        </w:rPr>
      </w:pPr>
    </w:p>
    <w:p w:rsidR="00A16BA8" w:rsidRPr="0012187F" w:rsidRDefault="00A16BA8" w:rsidP="00A16BA8">
      <w:pPr>
        <w:pStyle w:val="aa"/>
        <w:spacing w:before="240"/>
      </w:pPr>
      <w:r w:rsidRPr="003A69C1">
        <w:rPr>
          <w:b/>
        </w:rPr>
        <w:t>Рис. 1.4.</w:t>
      </w:r>
      <w:r w:rsidRPr="003A69C1">
        <w:t xml:space="preserve"> Выбор пункта меню «Уровни»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</w:rPr>
      </w:pPr>
      <w:r w:rsidRPr="00A16BA8">
        <w:rPr>
          <w:rFonts w:ascii="Times New Roman" w:hAnsi="Times New Roman" w:cs="Times New Roman"/>
          <w:sz w:val="28"/>
        </w:rPr>
        <w:t xml:space="preserve">6.3. В качестве черного цвета выбирается цвет </w:t>
      </w:r>
      <w:proofErr w:type="spellStart"/>
      <w:r w:rsidRPr="00A16BA8">
        <w:rPr>
          <w:rFonts w:ascii="Times New Roman" w:hAnsi="Times New Roman" w:cs="Times New Roman"/>
          <w:sz w:val="28"/>
        </w:rPr>
        <w:t>фоссилизированной</w:t>
      </w:r>
      <w:proofErr w:type="spellEnd"/>
      <w:r w:rsidRPr="00A16BA8">
        <w:rPr>
          <w:rFonts w:ascii="Times New Roman" w:hAnsi="Times New Roman" w:cs="Times New Roman"/>
          <w:sz w:val="28"/>
        </w:rPr>
        <w:t xml:space="preserve"> (разложившейся) кости в зависимости от конкретной фотографии (рис. 1.5). </w:t>
      </w:r>
    </w:p>
    <w:p w:rsidR="00A16BA8" w:rsidRDefault="00A16BA8" w:rsidP="00A16BA8">
      <w:pPr>
        <w:pStyle w:val="aa"/>
      </w:pPr>
      <w:r>
        <w:drawing>
          <wp:inline distT="0" distB="0" distL="0" distR="0">
            <wp:extent cx="5010150" cy="3152775"/>
            <wp:effectExtent l="19050" t="0" r="0" b="0"/>
            <wp:docPr id="3" name="Рисунок 47" descr="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П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pStyle w:val="aa"/>
      </w:pPr>
      <w:r w:rsidRPr="003A69C1">
        <w:rPr>
          <w:b/>
        </w:rPr>
        <w:t>Рис. 1.5.</w:t>
      </w:r>
      <w:r w:rsidRPr="003A69C1">
        <w:t xml:space="preserve">  Использование инструмента «Пипетка» (выбор белого цвета)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6.4. Нажать кнопу &lt;ОК&gt; (рис. 1.6). Перейти в меню «Изображение», подменю «Режим»,  пункт «Чёрно–белый» (рис. 1.7).</w:t>
      </w:r>
    </w:p>
    <w:p w:rsidR="00A16BA8" w:rsidRDefault="00A16BA8" w:rsidP="00A16BA8"/>
    <w:p w:rsidR="00A16BA8" w:rsidRDefault="00A16BA8" w:rsidP="00A16B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-138430</wp:posOffset>
            </wp:positionV>
            <wp:extent cx="5457825" cy="3657600"/>
            <wp:effectExtent l="19050" t="0" r="9525" b="0"/>
            <wp:wrapNone/>
            <wp:docPr id="8" name="Рисунок 48" descr="П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П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BA8" w:rsidRPr="0012187F" w:rsidRDefault="00A16BA8" w:rsidP="00A16BA8">
      <w:pPr>
        <w:pStyle w:val="aa"/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rPr>
          <w:b/>
        </w:rPr>
      </w:pPr>
    </w:p>
    <w:p w:rsidR="00A16BA8" w:rsidRDefault="00A16BA8" w:rsidP="00A16BA8">
      <w:pPr>
        <w:pStyle w:val="aa"/>
        <w:spacing w:before="120"/>
        <w:rPr>
          <w:b/>
        </w:rPr>
      </w:pPr>
    </w:p>
    <w:p w:rsidR="00A16BA8" w:rsidRDefault="00A16BA8" w:rsidP="00A16BA8">
      <w:pPr>
        <w:pStyle w:val="aa"/>
        <w:spacing w:before="120"/>
      </w:pPr>
      <w:r w:rsidRPr="003A69C1">
        <w:rPr>
          <w:b/>
        </w:rPr>
        <w:t>Рис. 1.6.</w:t>
      </w:r>
      <w:r w:rsidRPr="003A69C1">
        <w:t xml:space="preserve"> Использование инструмента «Пипетка» (выбор черного цвета)</w:t>
      </w:r>
    </w:p>
    <w:p w:rsidR="00A16BA8" w:rsidRPr="003A69C1" w:rsidRDefault="00A16BA8" w:rsidP="00A16BA8">
      <w:pPr>
        <w:pStyle w:val="aa"/>
        <w:spacing w:before="120"/>
      </w:pPr>
    </w:p>
    <w:p w:rsidR="00A16BA8" w:rsidRPr="0012187F" w:rsidRDefault="00A16BA8" w:rsidP="00A16BA8">
      <w:pPr>
        <w:pStyle w:val="aa"/>
      </w:pPr>
      <w:r>
        <w:drawing>
          <wp:inline distT="0" distB="0" distL="0" distR="0">
            <wp:extent cx="4791075" cy="2876550"/>
            <wp:effectExtent l="19050" t="0" r="9525" b="0"/>
            <wp:docPr id="4" name="Рисунок 49" descr="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П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pStyle w:val="aa"/>
        <w:rPr>
          <w:b/>
        </w:rPr>
      </w:pPr>
    </w:p>
    <w:p w:rsidR="00A16BA8" w:rsidRPr="0012187F" w:rsidRDefault="00A16BA8" w:rsidP="00A16BA8">
      <w:pPr>
        <w:pStyle w:val="aa"/>
      </w:pPr>
      <w:r w:rsidRPr="003A69C1">
        <w:rPr>
          <w:b/>
        </w:rPr>
        <w:t>Рис. 1.7.</w:t>
      </w:r>
      <w:r w:rsidRPr="003A69C1">
        <w:t xml:space="preserve"> Результат использования инструмента «Пипетка»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7. Оценка черно–белого изображения.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7.1. В меню «Изображение» выбирается подменю «Гистограмма» (рис. 1.8).</w:t>
      </w:r>
    </w:p>
    <w:p w:rsidR="00A16BA8" w:rsidRPr="00A16BA8" w:rsidRDefault="00A16BA8" w:rsidP="00A16BA8">
      <w:pPr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7.2. На гистограмме считывается показание пункта «Значение» (рис. 1.9), далее рассматриваемый как «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f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».</w:t>
      </w:r>
    </w:p>
    <w:p w:rsidR="00A16BA8" w:rsidRDefault="00A16BA8" w:rsidP="00A16BA8"/>
    <w:p w:rsidR="00A16BA8" w:rsidRDefault="00A16BA8" w:rsidP="00A16BA8"/>
    <w:p w:rsidR="00A16BA8" w:rsidRDefault="00A16BA8" w:rsidP="00A16B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-347980</wp:posOffset>
            </wp:positionV>
            <wp:extent cx="4076700" cy="3848100"/>
            <wp:effectExtent l="19050" t="0" r="0" b="0"/>
            <wp:wrapNone/>
            <wp:docPr id="5" name="Рисунок 50" descr="П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П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Pr="0012187F" w:rsidRDefault="00A16BA8" w:rsidP="00A16BA8">
      <w:pPr>
        <w:pStyle w:val="aa"/>
        <w:spacing w:before="120"/>
        <w:rPr>
          <w:sz w:val="28"/>
        </w:rPr>
      </w:pPr>
      <w:r w:rsidRPr="003A69C1">
        <w:rPr>
          <w:b/>
        </w:rPr>
        <w:t>Рис. 1.8.</w:t>
      </w:r>
      <w:r w:rsidRPr="003A69C1">
        <w:t xml:space="preserve"> Выбор  пункта меню «Чёрно–белый»</w:t>
      </w:r>
    </w:p>
    <w:p w:rsidR="00A16BA8" w:rsidRPr="0012187F" w:rsidRDefault="00A16BA8" w:rsidP="00A16BA8"/>
    <w:p w:rsidR="00A16BA8" w:rsidRDefault="00A16BA8" w:rsidP="00A16BA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635</wp:posOffset>
            </wp:positionV>
            <wp:extent cx="3095625" cy="2752725"/>
            <wp:effectExtent l="19050" t="0" r="9525" b="0"/>
            <wp:wrapNone/>
            <wp:docPr id="6" name="Рисунок 51" descr="П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П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Default="00A16BA8" w:rsidP="00A16BA8"/>
    <w:p w:rsidR="00A16BA8" w:rsidRPr="0012187F" w:rsidRDefault="00A16BA8" w:rsidP="00A16BA8">
      <w:pPr>
        <w:pStyle w:val="aa"/>
        <w:spacing w:before="120"/>
      </w:pPr>
      <w:r w:rsidRPr="003A69C1">
        <w:rPr>
          <w:b/>
        </w:rPr>
        <w:t>Рис. 1.9.</w:t>
      </w:r>
      <w:r w:rsidRPr="003A69C1">
        <w:t xml:space="preserve">  Выбор подменю «Гистограмма»</w:t>
      </w:r>
    </w:p>
    <w:p w:rsidR="00A16BA8" w:rsidRPr="0012187F" w:rsidRDefault="00A16BA8" w:rsidP="00A16BA8">
      <w:pPr>
        <w:pStyle w:val="a8"/>
      </w:pPr>
      <w:r>
        <w:t xml:space="preserve">7.3. </w:t>
      </w:r>
      <w:r w:rsidRPr="0012187F">
        <w:t xml:space="preserve">Учитывая, что значение гистограммы для  полностью сохранной кости (белой поверхности) составляет 255 единиц, степень фоссилизации шлифа  определяется по формуле:  F = 1– </w:t>
      </w:r>
      <w:proofErr w:type="spellStart"/>
      <w:r w:rsidRPr="0012187F">
        <w:t>f</w:t>
      </w:r>
      <w:proofErr w:type="spellEnd"/>
      <w:r w:rsidRPr="0012187F">
        <w:t>/255 Результат может выражаться как в процентах, так и в десятичных дробях</w:t>
      </w:r>
      <w:r>
        <w:t>(рис.1.10)</w:t>
      </w:r>
      <w:r w:rsidRPr="0012187F">
        <w:t>.</w:t>
      </w:r>
    </w:p>
    <w:p w:rsidR="00A16BA8" w:rsidRPr="0012187F" w:rsidRDefault="00A16BA8" w:rsidP="00A16BA8"/>
    <w:p w:rsidR="00A16BA8" w:rsidRPr="0012187F" w:rsidRDefault="00A16BA8" w:rsidP="00A16BA8">
      <w:pPr>
        <w:pStyle w:val="aa"/>
        <w:rPr>
          <w:sz w:val="28"/>
        </w:rPr>
      </w:pPr>
    </w:p>
    <w:p w:rsidR="00A16BA8" w:rsidRPr="003A69C1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  <w: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-767080</wp:posOffset>
            </wp:positionV>
            <wp:extent cx="3514725" cy="3343275"/>
            <wp:effectExtent l="19050" t="0" r="9525" b="0"/>
            <wp:wrapNone/>
            <wp:docPr id="7" name="Рисунок 52" descr="П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П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Default="00A16BA8" w:rsidP="00A16BA8">
      <w:pPr>
        <w:pStyle w:val="aa"/>
      </w:pPr>
    </w:p>
    <w:p w:rsidR="00A16BA8" w:rsidRPr="0012187F" w:rsidRDefault="00A16BA8" w:rsidP="00A16BA8">
      <w:pPr>
        <w:pStyle w:val="aa"/>
      </w:pPr>
    </w:p>
    <w:p w:rsidR="00A16BA8" w:rsidRDefault="00A16BA8" w:rsidP="00A16BA8">
      <w:pPr>
        <w:pStyle w:val="aa"/>
        <w:rPr>
          <w:b/>
        </w:rPr>
      </w:pPr>
    </w:p>
    <w:p w:rsidR="00A16BA8" w:rsidRPr="003A69C1" w:rsidRDefault="00A16BA8" w:rsidP="00A16BA8">
      <w:pPr>
        <w:pStyle w:val="aa"/>
      </w:pPr>
      <w:r w:rsidRPr="003A69C1">
        <w:rPr>
          <w:b/>
        </w:rPr>
        <w:t>Рис. 1.10.</w:t>
      </w:r>
      <w:r w:rsidRPr="003A69C1">
        <w:t xml:space="preserve">  Оценка степени фоссилизации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Разработанная методика позволяет проводить как качественное определение сохранного коллагена, что необходимо при выделении остеологического материала для дальнейших биохимических исследований, так и его количественное определение.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Исследование костных шлифов из музея СГМА показало полную сохранность коллагена шлифов, что указывает на то, что методы применяемые для  анатомической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препаровки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кости: вываривание, отбеливание и т.д. не приводят к деструкции коллагена [3]. </w:t>
      </w:r>
    </w:p>
    <w:p w:rsidR="00A16BA8" w:rsidRPr="00A16BA8" w:rsidRDefault="00A16BA8" w:rsidP="00A16BA8">
      <w:pPr>
        <w:pStyle w:val="2"/>
        <w:spacing w:before="240"/>
        <w:ind w:firstLine="0"/>
        <w:jc w:val="both"/>
      </w:pPr>
      <w:r w:rsidRPr="00A16BA8">
        <w:t>1.5. Минерализация кости и возможные механизмы процесса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Стадии минерализации кости: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1. Образование органической матрицы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2. Минерализация органической матрицы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3. Вторичная минерализация кости (связана с её постоянным формированием и развитием).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Сам процесс минерализации кости крайне сложен и до конца не исследован. Один из вариантов кристаллизации происходит не на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коллагеновой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матрице, а в пузырьках с мембраной структурой. Ступень кристалличности/аморфности в пузырьках зависит от степени удалённости их от кости чем дальше, тем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lastRenderedPageBreak/>
        <w:t>аморфней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. Ещё одна теория состоит в следующем: в матричных пузырьках находятся только временные депо кальциевых и фосфатных ионов. Кристаллизация происходит на органической матрице. Существует возможность 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двухстадийной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образование зародышевых кристаллов и дальнейший их рост на белковой матрице.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Считается что сразу образуется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гидроксоаппатит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(хотя велика вероятность того, что сначала образуется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октокальцефосфат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.)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Модели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биоминерализации.Для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создания моделей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весьма важны химические представления о процессах образования кристаллов и агрегирования частиц в определённых условиях. Примеры моделей основаны на следующих процессах: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Мембранно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–пузырьковое осаждение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2. Осаждение из растворов с последующей кристаллизацией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>3. Осаждение и рост кристаллов под воздействием органических в–в.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Начнём наше рассмотрение с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мембранно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–пузырькового осаждения. Этот механизм играет огромную роль в формировании неорганических твёрдых веществ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invivo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. Этот процесс моделировался при осаждении в синтетических фосфолипидных мембранных пузырьках диаметром ~ 30 нм. Целью такого моделирования было определение возможностей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мембранно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–пузырьковой минерализации и способов контроля этих процессов. Для сравнения материалы получаемые таким образом могут принципиально отличаться от полученных обычным осаждением в растворе. Химические потенциалы генерируемые в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микрообьёмах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пузырьков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изменяютредокс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–потенциалы, кинетические и структурные свойства материала.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Пузырьки с мембраной из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фосфатидил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холина можно получить, облучая ультразвуком водную дисперсию липида около точки перехода гель–жидкость. Если взять раствор металла в этом процессе, то ионы метала будут находиться </w:t>
      </w:r>
      <w:r w:rsidRPr="00A16BA8">
        <w:rPr>
          <w:rFonts w:ascii="Times New Roman" w:hAnsi="Times New Roman" w:cs="Times New Roman"/>
          <w:sz w:val="28"/>
          <w:szCs w:val="28"/>
        </w:rPr>
        <w:lastRenderedPageBreak/>
        <w:t xml:space="preserve">внутри пузырьков. Всё теперь в пузырьках можно проводить процесс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при использовании таких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мембренно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–проницаемых в–в/ионов как H2S, OH–, и другие. Можно также ввести в мембрану ионопроводящие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каналы.До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проведения реакции большинство ионов прочно связывается с фосфатной частью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фосфолипидов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нуклеация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была локализована на органическом слое. При проведении осаждения раствора хлорида железа(III) в растворе образовывался чистый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гоетит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(γ–FeOOH), а в пузырьках образовался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сферулит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–магнетит Fe2O3, 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ферригидрит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. Эти различия объясняются в основном кинетическим контролем – мембрана пропускает ионы с определённой скоростью, но также большую роль вносит и фосфолипидная матрица.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Возможен также процесс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основанный на транспорте катионов через фосфолипидную мембрану. Но для этого транспорта не обходимы ионофоры. Их строение может быть весьма разнообразным. Чаще всего для селективного транспорта катионов 2–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группы используют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краун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эфиры.[4]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Fonts w:ascii="Times New Roman" w:hAnsi="Times New Roman" w:cs="Times New Roman"/>
          <w:sz w:val="28"/>
          <w:szCs w:val="28"/>
        </w:rPr>
        <w:t xml:space="preserve">Огромным преимуществом пузырьковой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биоминерализации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является возможность регуляции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16BA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A16BA8">
        <w:rPr>
          <w:rFonts w:ascii="Times New Roman" w:hAnsi="Times New Roman" w:cs="Times New Roman"/>
          <w:sz w:val="28"/>
          <w:szCs w:val="28"/>
        </w:rPr>
        <w:t xml:space="preserve"> как в пузырьках так и в окружающей среде. </w:t>
      </w:r>
    </w:p>
    <w:p w:rsidR="00A16BA8" w:rsidRPr="00A16BA8" w:rsidRDefault="00A16BA8" w:rsidP="00A16BA8">
      <w:pPr>
        <w:pStyle w:val="a0"/>
      </w:pPr>
      <w:r w:rsidRPr="00A16BA8">
        <w:rPr>
          <w:b/>
        </w:rPr>
        <w:t>Выводы:</w:t>
      </w:r>
      <w:r w:rsidRPr="00A16BA8">
        <w:t xml:space="preserve"> кость  как орган живого организма состоит из нескольких тканей, главнейшей из которых является костная. Это один из  видов  соединительной  ткани, состоящей  из  трех  видов  клеток и </w:t>
      </w:r>
      <w:proofErr w:type="spellStart"/>
      <w:r w:rsidRPr="00A16BA8">
        <w:t>обизвествленного</w:t>
      </w:r>
      <w:proofErr w:type="spellEnd"/>
      <w:r w:rsidRPr="00A16BA8">
        <w:t xml:space="preserve"> межклеточного матрикса. Клетки составляют 1–2% от всего объема костной ткани, остальной объем занят порами и каналами (для компактной  костной ткани пористость составляет 13–18%, для губчатой она выше) и твердой фазой – органическими и минеральными   составляющими костных пластинок. Органическая составляющая (40–50% твердой фазы) представлена коллагеном. Минеральная составляющая (50–60%  твердой  фазы)  – преимущественно кристаллы </w:t>
      </w:r>
      <w:proofErr w:type="spellStart"/>
      <w:r w:rsidRPr="00A16BA8">
        <w:t>гидроксилапатита</w:t>
      </w:r>
      <w:proofErr w:type="spellEnd"/>
      <w:r w:rsidRPr="00A16BA8">
        <w:t xml:space="preserve"> Са10 (РО4 ) 6 (ОН)2  и других солей кальция.</w:t>
      </w:r>
    </w:p>
    <w:p w:rsidR="00A16BA8" w:rsidRPr="00A16BA8" w:rsidRDefault="00A16BA8" w:rsidP="00A16BA8">
      <w:pPr>
        <w:pStyle w:val="a0"/>
      </w:pPr>
      <w:r w:rsidRPr="00A16BA8">
        <w:t xml:space="preserve">В пределах пластинки коллаген минеральные волокна ориентированы в определенном направлении и соединены связующим веществом. Костная ткань, образующая кости скелета, отличается большой прочностью. Она поддерживает </w:t>
      </w:r>
      <w:r w:rsidRPr="00A16BA8">
        <w:lastRenderedPageBreak/>
        <w:t xml:space="preserve">форму тела (конституцию) и защищает органы, расположенные в черепной коробке, грудной и тазовой полостях, участвует в минеральном обмене. Ткань состоит из клеток (остеоцитов) и межклеточного вещества, в котором расположены питательные каналы с сосудами. В межклеточном веществе содержится до 70% минеральных солей (кальций, фосфор и магний). </w:t>
      </w:r>
    </w:p>
    <w:p w:rsidR="00A16BA8" w:rsidRPr="00A16BA8" w:rsidRDefault="00A16BA8" w:rsidP="00A16BA8">
      <w:pPr>
        <w:pStyle w:val="a0"/>
      </w:pPr>
      <w:r w:rsidRPr="00A16BA8">
        <w:t xml:space="preserve">Способность костной ткани, а именно коллагена в ней, к </w:t>
      </w:r>
      <w:proofErr w:type="spellStart"/>
      <w:r w:rsidRPr="00A16BA8">
        <w:t>фотофлуоресценции</w:t>
      </w:r>
      <w:proofErr w:type="spellEnd"/>
      <w:r w:rsidRPr="00A16BA8">
        <w:t xml:space="preserve"> позволяет с помощью </w:t>
      </w:r>
      <w:r w:rsidRPr="00A16BA8">
        <w:rPr>
          <w:i/>
        </w:rPr>
        <w:t xml:space="preserve">макроскопического флуоресцентный анализа </w:t>
      </w:r>
      <w:r w:rsidRPr="00A16BA8">
        <w:t>определить степень микробиологического разложения (фоссилизации) костного материала.</w:t>
      </w:r>
    </w:p>
    <w:p w:rsidR="00A16BA8" w:rsidRPr="00A16BA8" w:rsidRDefault="00A16BA8" w:rsidP="00A16BA8">
      <w:pPr>
        <w:pStyle w:val="a0"/>
      </w:pPr>
      <w:r w:rsidRPr="00A16BA8">
        <w:t xml:space="preserve">Коллаген относят к флуоресцентным белкам II класса. Его способность к </w:t>
      </w:r>
    </w:p>
    <w:p w:rsidR="00A16BA8" w:rsidRPr="00A16BA8" w:rsidRDefault="00A16BA8" w:rsidP="00A16BA8">
      <w:pPr>
        <w:pStyle w:val="a0"/>
      </w:pPr>
      <w:r w:rsidRPr="00A16BA8">
        <w:t xml:space="preserve">флуоресценции определяется наличием в структуре ароматических аминокислот: тирозина и </w:t>
      </w:r>
      <w:proofErr w:type="spellStart"/>
      <w:r w:rsidRPr="00A16BA8">
        <w:t>фенилаланина</w:t>
      </w:r>
      <w:proofErr w:type="spellEnd"/>
      <w:r w:rsidRPr="00A16BA8">
        <w:t>. Денатурация флуоресцентных белков всегда сопровождается потерей способности к флуоресценции.</w:t>
      </w:r>
    </w:p>
    <w:p w:rsidR="00A16BA8" w:rsidRP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A8">
        <w:rPr>
          <w:rStyle w:val="a7"/>
          <w:rFonts w:ascii="Times New Roman" w:hAnsi="Times New Roman"/>
          <w:i w:val="0"/>
          <w:sz w:val="28"/>
          <w:szCs w:val="28"/>
        </w:rPr>
        <w:t xml:space="preserve">Способность коллагена к ультрафиолетовой флуоресценции позволяет контролировать процесс минерализации скелетного материала и выявить участки кости  пригодные  для  дальнейших  биохимических   и   генетических   исследований. </w:t>
      </w:r>
      <w:r w:rsidRPr="00A16BA8">
        <w:rPr>
          <w:rFonts w:ascii="Times New Roman" w:hAnsi="Times New Roman" w:cs="Times New Roman"/>
          <w:sz w:val="28"/>
          <w:szCs w:val="28"/>
        </w:rPr>
        <w:t>При фоссилизации (минерализации кости) происходит разрушение третичной структуры коллагена, сопровождающееся потерей способности к люминесценции,  поэтому,  оценивая  ультрафиолетовую  люминесценцию  кости, мы определяем степень сохранности коллагена.</w:t>
      </w:r>
    </w:p>
    <w:p w:rsidR="00A16BA8" w:rsidRPr="00EF269A" w:rsidRDefault="00A16BA8" w:rsidP="00A16BA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МЕТ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ИССЛЕДОВАНИЯ ВРЕМЕННОЙ ДИНАМИКИ 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ЛЮМИНЕСЦЕНЦИИ</w:t>
      </w:r>
    </w:p>
    <w:p w:rsidR="00A16BA8" w:rsidRPr="00EF269A" w:rsidRDefault="00A16BA8" w:rsidP="00A16BA8">
      <w:pPr>
        <w:suppressAutoHyphens/>
        <w:spacing w:before="36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348526075"/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Люминесценция и ее кинетика</w:t>
      </w:r>
      <w:bookmarkEnd w:id="1"/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Люминесценция 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лат. </w:t>
      </w:r>
      <w:proofErr w:type="spellStart"/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lumen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– свет и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oftHyphen/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oftHyphen/>
        <w:t>-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softHyphen/>
      </w:r>
      <w:proofErr w:type="spellStart"/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escent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– суффикс,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значающий слаб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действие) – излучение, представляющее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избыт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 над </w:t>
      </w:r>
      <w:hyperlink r:id="rId15" w:tooltip="Тепловое излучение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тепл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вым излучением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тела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лжающееся в течение времени, значительн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превышающег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лебаний. Первая 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пределения люминесценции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тделяет 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тепл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излучения и указывает на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онятие люминесценции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применим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купн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(м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лекул),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дящихся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янии, близк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к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заключаться 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дна терм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динамическая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дсистема,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например,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ны, имеет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пределенную температуру, а другая – валентные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оны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одя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тся в неравн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янии). При сильн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 излучении или люминесценция не имеет смысла. </w:t>
      </w:r>
    </w:p>
    <w:p w:rsidR="00A16BA8" w:rsidRDefault="00A16BA8" w:rsidP="00A16BA8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рая 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пределения – признак длительн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ости,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была введена С.И. Вавил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вым,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тделить люминесценцию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различных 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рассеяния,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тражения, параметрические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ования света,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Черенк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ва-Вавил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ва излучений.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тличие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 </w:t>
      </w:r>
      <w:hyperlink r:id="rId16" w:tooltip="Рассеяние Света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рассеяния света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при люминесценции между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щением и испусканием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межут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цессы, длительн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рых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льше пери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о,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критерий сравнения длительн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этих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 пери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лны нед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чен,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бы, например,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тделить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е рассеяние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ресценции. При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времени жизни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 акт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рассеяния длится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лее пери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лебаний, как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hyperlink r:id="rId17" w:tooltip="Когерентность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герентн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испускания света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 этих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цессах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храняются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пределяющие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шения между фазами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и испущенн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лн, 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время как при люминесценции эта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рреляция утрачивается. </w:t>
      </w:r>
    </w:p>
    <w:p w:rsidR="00A16BA8" w:rsidRDefault="00A16BA8" w:rsidP="00A16BA8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A16BA8" w:rsidRPr="00EF269A" w:rsidRDefault="00A16BA8" w:rsidP="00A16BA8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целес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тделять люминесценцию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других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времени фаз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релаксации и </w:t>
      </w:r>
      <w:hyperlink r:id="rId18" w:tooltip="Поляризация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ляризации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среды [5].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Люминесценцию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классифицир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следующим признакам.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виду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 различают </w:t>
      </w:r>
      <w:hyperlink r:id="rId19" w:tooltip="Фотолюминесценция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ф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люминесценцию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м);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люминесценцию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никающей радиацией; к ней, в частн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сятся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рентген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-,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-,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- и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aлюминесценции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);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люминесценцию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электрическим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лем);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хемилюминесценцию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при химическ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реакции), в частн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люминесценцию,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люминесценцию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при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рении кристалл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длительн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свечения различают 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ресценцию (быстр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затухающую люминесценцию)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ресценцию (длительную люминесценцию).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деление усл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зависит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временн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разрешения регистрирующих приб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в.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гда термины «флу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ресценция» и «ф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ресценция»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льзуют,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тличить люминесценцию,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дящую при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дах с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синглетных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дящих с метастабильных триплетных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вней.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механизму элементарных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различают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нансную,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нтанную, метастабильную, или вынужденную, и 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мбинаци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нную люминесценцию.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ме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вным характеристикам люминесценции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сятся энергетический и квант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вый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люминесценции, кинетика люминесценции, спектральный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став свечения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света, механизм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вания энергии.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сть люминесценции зависит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збуждения,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не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служить характеристик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Одной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из характеристик люминесценции является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 люминесценции, что представляет собой 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шение энергии люминесценции 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энергии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збуждения (при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олюминесценции таковым является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квант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вый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 люминесценции, который выражается 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числа испущенных квант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света 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щенным).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Физическая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люминесценции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ит в излучательных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дах </w:t>
      </w:r>
    </w:p>
    <w:p w:rsidR="00A16BA8" w:rsidRPr="00EF269A" w:rsidRDefault="00A16BA8" w:rsidP="00A16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hyperlink r:id="rId20" w:tooltip="Электрон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электр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в</w:t>
        </w:r>
      </w:hyperlink>
      <w:r>
        <w:t xml:space="preserve">,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или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 из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е. При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причин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начальн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гут служить различные факт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ры: внешнее излучение, температура, химические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другие.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Вещества, имеющие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ванные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ны (с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пряженные системы),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бладают 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сильн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люминесценцией. </w:t>
      </w:r>
      <w:hyperlink r:id="rId21" w:tooltip="Антрацен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Антрацен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hyperlink r:id="rId22" w:tooltip="Нафталин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нафталин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hyperlink r:id="rId23" w:tooltip="Белки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белки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держащие 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матические 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ты и 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рые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стетические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группы,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гие пигменты растений и в частн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филл, а также ряд лекарственных препарат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бладают ярк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выраженн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стью к люминесценции.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рганические вещества,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бные давать люминесцирующие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мплексы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слаб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люминесцентными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рганическими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единениями, 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льзуются в люминесцентн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анализе. Так, в люминесцентн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</w:t>
      </w:r>
      <w:hyperlink r:id="rId24" w:tooltip="Титриметрия" w:history="1">
        <w:proofErr w:type="spellStart"/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титриметрии</w:t>
        </w:r>
        <w:proofErr w:type="spellEnd"/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применяется 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</w:t>
      </w:r>
      <w:proofErr w:type="spellStart"/>
      <w:r>
        <w:fldChar w:fldCharType="begin"/>
      </w:r>
      <w:r>
        <w:instrText>HYPERLINK "http://ru.wikipedia.org/wiki/%D0%A4%D0%BB%D1%83%D0%BE%D1%80%D0%B5%D1%81%D1%86%D0%B5%D0%B8%D0%BD" \o "Флуоресцеин"</w:instrText>
      </w:r>
      <w:r>
        <w:fldChar w:fldCharType="separate"/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ресцеин</w:t>
      </w:r>
      <w:proofErr w:type="spellEnd"/>
      <w:r>
        <w:fldChar w:fldCharType="end"/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начальн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нятие «люминесценция»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сь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 видим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свету. В наст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ящее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применяется к излучению в инфракрасн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м, видим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м, ультрафи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и рентген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нах.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рмы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люминесценции были известны людям давн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Например, свечение насек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мых (светлячки), свечение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рских рыб и планкт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лярные сияния, свечение минерал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гниющег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дерева и других разлагающихся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рганических веществ. В наст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ящее время к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дным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рмам прибавил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сь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искусственных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 люминесценции. 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Твердые и жидкие вещества,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бные люминесцир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вать, называют люмин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рами(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 </w:t>
      </w:r>
      <w:hyperlink r:id="rId25" w:tooltip="Латинский язык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лат.</w:t>
        </w:r>
      </w:hyperlink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</w:t>
      </w:r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la-Latn" w:eastAsia="en-US"/>
        </w:rPr>
        <w:t>lumen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– свет и </w:t>
      </w:r>
      <w:hyperlink r:id="rId26" w:tooltip="Древнегреческий язык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греч.</w:t>
        </w:r>
      </w:hyperlink>
      <w: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ph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– несущий). Люминесцир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вать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гут вещества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всех агрегатных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яниях – газы и пары,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рганических веществ, стекла, кристаллические вещества.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hyperlink r:id="rId27" w:tooltip="Вещество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веществ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о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люминесцир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вать, 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 </w:t>
      </w:r>
      <w:hyperlink r:id="rId28" w:tooltip="Спектр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спектры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hyperlink r:id="rId29" w:tooltip="Дискретность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дискретный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характер,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есть 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энергетические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лжны быть разделены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нами запрещенных энергий.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металлы в тверд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и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бладающие непрерывным энергетическим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м, не дают люминесценции.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Энергия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 в металлах непрерывным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 в тепл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И лишь в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 металлы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гут испытывать рентген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вскую 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ресценцию,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есть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действием рентген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излучения испускать 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ричные </w:t>
      </w:r>
      <w:hyperlink r:id="rId30" w:tooltip="Х-лучи" w:history="1">
        <w:r w:rsidRPr="00EF269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en-US"/>
          </w:rPr>
          <w:t>Х-лучи</w:t>
        </w:r>
      </w:hyperlink>
      <w: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[5].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Прежде, чем рассматривать кинетику люминесценции,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мнить, какие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вные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цессы при люминесценции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(рис.2.1). 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2650" cy="3581400"/>
            <wp:effectExtent l="19050" t="0" r="0" b="0"/>
            <wp:docPr id="547" name="Рисунок 14" descr="D:\Дипломы\Диплом Игорь\Рис.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ипломы\Диплом Игорь\Рис.1.1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A8" w:rsidRPr="00EF269A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 xml:space="preserve">Рис.2.1. 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Схема квант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вых перех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д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в при люминесценции: 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IC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и 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IC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lang w:val="en-US"/>
        </w:rPr>
        <w:sym w:font="Symbol" w:char="F0A2"/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- внутренняя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нверсия с п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следующей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лебательн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й релаксацией; 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ISC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и 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ISC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lang w:val="en-US"/>
        </w:rPr>
        <w:sym w:font="Symbol" w:char="F0A2"/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- перен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 энергии с п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следующей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лебательн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й релаксацией</w:t>
      </w:r>
    </w:p>
    <w:p w:rsidR="00A16BA8" w:rsidRPr="00EF269A" w:rsidRDefault="00A16BA8" w:rsidP="00A16BA8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A16BA8" w:rsidRPr="00EF269A" w:rsidRDefault="00A16BA8" w:rsidP="00A16BA8">
      <w:pPr>
        <w:widowControl w:val="0"/>
        <w:numPr>
          <w:ilvl w:val="0"/>
          <w:numId w:val="7"/>
        </w:numPr>
        <w:tabs>
          <w:tab w:val="num" w:pos="851"/>
        </w:tabs>
        <w:spacing w:after="0" w:line="360" w:lineRule="auto"/>
        <w:ind w:left="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збуждение. При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лекула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дит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синглетн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яния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в 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яние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При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мнить,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тветствует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лебательных.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дить на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из этих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вней.</w:t>
      </w:r>
    </w:p>
    <w:p w:rsidR="00A16BA8" w:rsidRPr="00EF269A" w:rsidRDefault="00A16BA8" w:rsidP="00A16BA8">
      <w:pPr>
        <w:widowControl w:val="0"/>
        <w:numPr>
          <w:ilvl w:val="0"/>
          <w:numId w:val="7"/>
        </w:numPr>
        <w:tabs>
          <w:tab w:val="num" w:pos="851"/>
          <w:tab w:val="left" w:pos="6804"/>
        </w:tabs>
        <w:spacing w:after="0" w:line="360" w:lineRule="auto"/>
        <w:ind w:left="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Релаксация на низший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лебательный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вень,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тветствующий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вню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Здесь уже следует всп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мнить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кинетике: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причин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 предшествует всем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следующим, является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релаксации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чень быстрый: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время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ставляет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фемт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секунд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(10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US"/>
        </w:rPr>
        <w:t>-12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с),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быстрее всех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нкурирующих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рые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пишем ниже. Таким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цессы (1+2) мы будем рассматривать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мплексн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widowControl w:val="0"/>
        <w:numPr>
          <w:ilvl w:val="0"/>
          <w:numId w:val="7"/>
        </w:numPr>
        <w:tabs>
          <w:tab w:val="num" w:pos="851"/>
          <w:tab w:val="left" w:pos="6804"/>
        </w:tabs>
        <w:spacing w:after="0" w:line="360" w:lineRule="auto"/>
        <w:ind w:left="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од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на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вень </w:t>
      </w:r>
      <w:r w:rsidRPr="00A9406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A9406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означает, что </w:t>
      </w:r>
      <w:r w:rsidRPr="00A9406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лекулы уже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является 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р, а именн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льких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нкурирующих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 между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рыми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 из кинетических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бражений:</w:t>
      </w:r>
    </w:p>
    <w:p w:rsidR="00A16BA8" w:rsidRPr="00EF269A" w:rsidRDefault="00A16BA8" w:rsidP="00A16BA8">
      <w:pPr>
        <w:tabs>
          <w:tab w:val="left" w:pos="709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а) люминесценция, а именн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о,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излучательный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→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время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льких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льких десятк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секунд;</w:t>
      </w:r>
    </w:p>
    <w:p w:rsidR="00A16BA8" w:rsidRPr="00EF269A" w:rsidRDefault="00A16BA8" w:rsidP="00A16BA8">
      <w:pPr>
        <w:tabs>
          <w:tab w:val="left" w:pos="851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б)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безызлучательная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релаксация через внутреннюю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нверсию, а именн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цесс, в результате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энергия растрачивается на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лебания.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время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цесса зависит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гих факт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в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 числе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температуры, 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ставлять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секунд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микр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и даже миллисекунд;</w:t>
      </w:r>
    </w:p>
    <w:p w:rsidR="00A16BA8" w:rsidRPr="00EF269A" w:rsidRDefault="00A16BA8" w:rsidP="00A16BA8">
      <w:pPr>
        <w:tabs>
          <w:tab w:val="left" w:pos="851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 внутрисистемный перен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 заряда, при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лекула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 в триплетн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яние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Т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с изменением спина.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рмальн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запрещен: дип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льный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мент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зависит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 люминесценции,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держит в качестве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жителя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спин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вый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интеграл,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рый при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де с изменением спина равен 0,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бнуляя все выражение.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о,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 действительн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выделение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интеграла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тдельный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житель является приближением, не всегда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рректным, так 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единения степень запрета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жет меняться. В качестве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ценки «степени запрета», или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да, выступает как раз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время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для разных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единений варьируется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микр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миллисекунд и даже десятк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миллисекунд.</w:t>
      </w:r>
    </w:p>
    <w:p w:rsidR="00A16BA8" w:rsidRPr="00EF269A" w:rsidRDefault="00A16BA8" w:rsidP="00A16BA8">
      <w:pPr>
        <w:numPr>
          <w:ilvl w:val="0"/>
          <w:numId w:val="7"/>
        </w:numPr>
        <w:tabs>
          <w:tab w:val="num" w:pos="851"/>
        </w:tabs>
        <w:spacing w:after="0" w:line="360" w:lineRule="auto"/>
        <w:ind w:left="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Внутрисистемный перенос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→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T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является единственным случаем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не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дящим 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 к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янию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Здесь также сначала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дит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безызлучательная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релаксация на низший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вней,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рую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будем рассматривать как часть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цесса 3а,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сле чег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жны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путей:</w:t>
      </w:r>
    </w:p>
    <w:p w:rsidR="00A16BA8" w:rsidRPr="00EF269A" w:rsidRDefault="00A16BA8" w:rsidP="00A16BA8">
      <w:pPr>
        <w:tabs>
          <w:tab w:val="left" w:pos="284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а)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яние за счет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релаксации;</w:t>
      </w:r>
    </w:p>
    <w:p w:rsidR="00A16BA8" w:rsidRPr="00EF269A" w:rsidRDefault="00A16BA8" w:rsidP="00A16BA8">
      <w:pPr>
        <w:tabs>
          <w:tab w:val="left" w:pos="284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б)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излучательный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с изменением спина –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ресценции;</w:t>
      </w:r>
    </w:p>
    <w:p w:rsidR="00A16BA8" w:rsidRPr="00EF269A" w:rsidRDefault="00A16BA8" w:rsidP="00A16BA8">
      <w:pPr>
        <w:tabs>
          <w:tab w:val="left" w:pos="284"/>
        </w:tabs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в) дальнейший внутрисистемный перен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 энергии с триплетн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вня.</w:t>
      </w:r>
    </w:p>
    <w:p w:rsidR="00A16BA8" w:rsidRPr="00EF269A" w:rsidRDefault="00A16BA8" w:rsidP="00A16BA8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Каждый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писанных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рмальн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рассматривать как химическую реакцию 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рядка, если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значим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лекулу как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Q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вимся на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дах из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яний (табл.2.1).</w:t>
      </w:r>
    </w:p>
    <w:p w:rsidR="00A16BA8" w:rsidRPr="00C976E8" w:rsidRDefault="00A16BA8" w:rsidP="00A16BA8">
      <w:pPr>
        <w:spacing w:before="240" w:after="0" w:line="240" w:lineRule="auto"/>
        <w:ind w:firstLine="567"/>
        <w:contextualSpacing/>
        <w:jc w:val="right"/>
        <w:textAlignment w:val="center"/>
        <w:rPr>
          <w:rFonts w:ascii="Times New Roman" w:eastAsia="Calibri" w:hAnsi="Times New Roman" w:cs="Times New Roman"/>
          <w:color w:val="000000"/>
          <w:position w:val="-16"/>
          <w:sz w:val="24"/>
          <w:szCs w:val="24"/>
          <w:lang w:eastAsia="en-US"/>
        </w:rPr>
      </w:pPr>
      <w:r w:rsidRPr="00C976E8">
        <w:rPr>
          <w:rFonts w:ascii="Times New Roman" w:eastAsia="Calibri" w:hAnsi="Times New Roman" w:cs="Times New Roman"/>
          <w:color w:val="000000"/>
          <w:position w:val="-16"/>
          <w:sz w:val="24"/>
          <w:szCs w:val="24"/>
          <w:lang w:eastAsia="en-US"/>
        </w:rPr>
        <w:t>Таблица 2.1</w:t>
      </w:r>
    </w:p>
    <w:p w:rsidR="00A16BA8" w:rsidRPr="00EF269A" w:rsidRDefault="00A16BA8" w:rsidP="00A16BA8">
      <w:pPr>
        <w:spacing w:after="0" w:line="240" w:lineRule="auto"/>
        <w:ind w:firstLine="567"/>
        <w:contextualSpacing/>
        <w:jc w:val="center"/>
        <w:textAlignment w:val="center"/>
        <w:rPr>
          <w:rFonts w:ascii="Times New Roman" w:eastAsia="Calibri" w:hAnsi="Times New Roman" w:cs="Times New Roman"/>
          <w:b/>
          <w:color w:val="000000"/>
          <w:position w:val="-16"/>
          <w:sz w:val="24"/>
          <w:szCs w:val="24"/>
          <w:lang w:eastAsia="en-US"/>
        </w:rPr>
      </w:pPr>
      <w:r w:rsidRPr="00EF269A">
        <w:rPr>
          <w:rFonts w:ascii="Times New Roman" w:eastAsia="Calibri" w:hAnsi="Times New Roman" w:cs="Times New Roman"/>
          <w:b/>
          <w:color w:val="000000"/>
          <w:position w:val="-16"/>
          <w:sz w:val="24"/>
          <w:szCs w:val="24"/>
          <w:lang w:eastAsia="en-US"/>
        </w:rPr>
        <w:t>Химические реакции, пр</w:t>
      </w:r>
      <w:r>
        <w:rPr>
          <w:rFonts w:ascii="Times New Roman" w:eastAsia="Calibri" w:hAnsi="Times New Roman" w:cs="Times New Roman"/>
          <w:b/>
          <w:color w:val="000000"/>
          <w:position w:val="-16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b/>
          <w:color w:val="000000"/>
          <w:position w:val="-16"/>
          <w:sz w:val="24"/>
          <w:szCs w:val="24"/>
          <w:lang w:eastAsia="en-US"/>
        </w:rPr>
        <w:t>текающие при люминесценции</w:t>
      </w:r>
    </w:p>
    <w:tbl>
      <w:tblPr>
        <w:tblStyle w:val="af"/>
        <w:tblW w:w="0" w:type="auto"/>
        <w:jc w:val="center"/>
        <w:tblInd w:w="108" w:type="dxa"/>
        <w:tblLook w:val="04A0"/>
      </w:tblPr>
      <w:tblGrid>
        <w:gridCol w:w="1085"/>
        <w:gridCol w:w="2305"/>
        <w:gridCol w:w="2694"/>
        <w:gridCol w:w="2978"/>
      </w:tblGrid>
      <w:tr w:rsidR="00A16BA8" w:rsidRPr="00C976E8" w:rsidTr="00765E86">
        <w:trPr>
          <w:jc w:val="center"/>
        </w:trPr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Процесс</w: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Основное состояние</w: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proofErr w:type="spellStart"/>
            <w:r w:rsidRPr="00C976E8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Излучательный</w:t>
            </w:r>
            <w:proofErr w:type="spellEnd"/>
            <w:r w:rsidRPr="00C976E8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переход</w: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Внутрисистемный перенос</w:t>
            </w:r>
          </w:p>
        </w:tc>
      </w:tr>
      <w:tr w:rsidR="00A16BA8" w:rsidRPr="00C976E8" w:rsidTr="00765E86">
        <w:trPr>
          <w:trHeight w:val="437"/>
          <w:jc w:val="center"/>
        </w:trPr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lastRenderedPageBreak/>
              <w:t>Переход</w: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40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0.5pt;height:24pt" o:ole="">
                  <v:imagedata r:id="rId32" o:title=""/>
                </v:shape>
                <o:OLEObject Type="Embed" ProgID="Equation.3" ShapeID="_x0000_i1033" DrawAspect="Content" ObjectID="_1496469572" r:id="rId33"/>
              </w:objec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320" w:dyaOrig="440">
                <v:shape id="_x0000_i1034" type="#_x0000_t75" style="width:66.75pt;height:21.75pt" o:ole="">
                  <v:imagedata r:id="rId34" o:title=""/>
                </v:shape>
                <o:OLEObject Type="Embed" ProgID="Equation.3" ShapeID="_x0000_i1034" DrawAspect="Content" ObjectID="_1496469573" r:id="rId35"/>
              </w:objec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719" w:dyaOrig="440">
                <v:shape id="_x0000_i1035" type="#_x0000_t75" style="width:85.5pt;height:21.75pt" o:ole="">
                  <v:imagedata r:id="rId36" o:title=""/>
                </v:shape>
                <o:OLEObject Type="Embed" ProgID="Equation.3" ShapeID="_x0000_i1035" DrawAspect="Content" ObjectID="_1496469574" r:id="rId37"/>
              </w:object>
            </w:r>
          </w:p>
        </w:tc>
      </w:tr>
      <w:tr w:rsidR="00A16BA8" w:rsidRPr="00C976E8" w:rsidTr="00765E86">
        <w:trPr>
          <w:trHeight w:val="459"/>
          <w:jc w:val="center"/>
        </w:trPr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Перенос</w: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480" w:dyaOrig="440">
                <v:shape id="_x0000_i1036" type="#_x0000_t75" style="width:74.25pt;height:21.75pt" o:ole="">
                  <v:imagedata r:id="rId38" o:title=""/>
                </v:shape>
                <o:OLEObject Type="Embed" ProgID="Equation.3" ShapeID="_x0000_i1036" DrawAspect="Content" ObjectID="_1496469575" r:id="rId39"/>
              </w:objec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680" w:dyaOrig="480">
                <v:shape id="_x0000_i1037" type="#_x0000_t75" style="width:83.25pt;height:24pt" o:ole="">
                  <v:imagedata r:id="rId40" o:title=""/>
                </v:shape>
                <o:OLEObject Type="Embed" ProgID="Equation.3" ShapeID="_x0000_i1037" DrawAspect="Content" ObjectID="_1496469576" r:id="rId41"/>
              </w:object>
            </w:r>
          </w:p>
        </w:tc>
        <w:tc>
          <w:tcPr>
            <w:tcW w:w="0" w:type="auto"/>
          </w:tcPr>
          <w:p w:rsidR="00A16BA8" w:rsidRPr="00C976E8" w:rsidRDefault="00A16BA8" w:rsidP="00765E86">
            <w:pPr>
              <w:contextualSpacing/>
              <w:jc w:val="center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C976E8">
              <w:rPr>
                <w:rFonts w:ascii="Times New Roman" w:eastAsia="Calibri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object w:dxaOrig="1640" w:dyaOrig="440">
                <v:shape id="_x0000_i1038" type="#_x0000_t75" style="width:82.5pt;height:21.75pt" o:ole="">
                  <v:imagedata r:id="rId42" o:title=""/>
                </v:shape>
                <o:OLEObject Type="Embed" ProgID="Equation.3" ShapeID="_x0000_i1038" DrawAspect="Content" ObjectID="_1496469577" r:id="rId43"/>
              </w:object>
            </w:r>
          </w:p>
        </w:tc>
      </w:tr>
    </w:tbl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textAlignment w:val="center"/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</w:pPr>
    </w:p>
    <w:p w:rsidR="00A16BA8" w:rsidRPr="00EF269A" w:rsidRDefault="00A16BA8" w:rsidP="00A16BA8">
      <w:pPr>
        <w:keepLines/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Как и для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реакции 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рядка, 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писанных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рци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нальна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нцентрации (в данн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м  случае  –  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личеству частиц)</w:t>
      </w:r>
    </w:p>
    <w:p w:rsidR="00A16BA8" w:rsidRPr="00EF269A" w:rsidRDefault="00A16BA8" w:rsidP="00A16BA8">
      <w:pPr>
        <w:keepLines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вещества. Так, в случае флу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ресценции:</w:t>
      </w:r>
    </w:p>
    <w:p w:rsidR="00A16BA8" w:rsidRPr="00EF269A" w:rsidRDefault="00A16BA8" w:rsidP="00A16BA8">
      <w:pPr>
        <w:spacing w:after="12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lang w:eastAsia="en-US"/>
        </w:rPr>
        <w:t xml:space="preserve">            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lang w:eastAsia="en-US"/>
        </w:rPr>
        <w:object w:dxaOrig="2640" w:dyaOrig="600">
          <v:shape id="_x0000_i1039" type="#_x0000_t75" style="width:131.25pt;height:30pt" o:ole="">
            <v:imagedata r:id="rId44" o:title=""/>
          </v:shape>
          <o:OLEObject Type="Embed" ProgID="Equation.3" ShapeID="_x0000_i1039" DrawAspect="Content" ObjectID="_1496469578" r:id="rId45"/>
        </w:object>
      </w:r>
      <w:r>
        <w:rPr>
          <w:rFonts w:ascii="Times New Roman" w:eastAsia="Calibri" w:hAnsi="Times New Roman" w:cs="Times New Roman"/>
          <w:color w:val="000000"/>
          <w:position w:val="-16"/>
          <w:lang w:eastAsia="en-US"/>
        </w:rPr>
        <w:t xml:space="preserve">, </w:t>
      </w:r>
      <w:r w:rsidRPr="00EF269A">
        <w:rPr>
          <w:rFonts w:ascii="Times New Roman" w:eastAsia="Calibri" w:hAnsi="Times New Roman" w:cs="Times New Roman"/>
          <w:color w:val="000000"/>
          <w:position w:val="-16"/>
          <w:lang w:eastAsia="en-US"/>
        </w:rPr>
        <w:t xml:space="preserve">   </w:t>
      </w:r>
      <w:r>
        <w:rPr>
          <w:rFonts w:ascii="Times New Roman" w:eastAsia="Calibri" w:hAnsi="Times New Roman" w:cs="Times New Roman"/>
          <w:color w:val="000000"/>
          <w:position w:val="-16"/>
          <w:lang w:eastAsia="en-US"/>
        </w:rPr>
        <w:t xml:space="preserve">         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(2.1)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Решая дифференциальн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уравнение,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лучим:</w:t>
      </w:r>
    </w:p>
    <w:p w:rsidR="00A16BA8" w:rsidRPr="00EF269A" w:rsidRDefault="00A16BA8" w:rsidP="00A16BA8">
      <w:pPr>
        <w:spacing w:after="0" w:line="240" w:lineRule="auto"/>
        <w:jc w:val="center"/>
        <w:textAlignment w:val="center"/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5319" w:dyaOrig="600">
          <v:shape id="_x0000_i1040" type="#_x0000_t75" style="width:265.5pt;height:30pt" o:ole="">
            <v:imagedata r:id="rId46" o:title=""/>
          </v:shape>
          <o:OLEObject Type="Embed" ProgID="Equation.3" ShapeID="_x0000_i1040" DrawAspect="Content" ObjectID="_1496469579" r:id="rId47"/>
        </w:objec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,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(2.2)</w:t>
      </w:r>
    </w:p>
    <w:p w:rsidR="00A16BA8" w:rsidRPr="00EF269A" w:rsidRDefault="00A16BA8" w:rsidP="00A16BA8">
      <w:pPr>
        <w:kinsoku w:val="0"/>
        <w:autoSpaceDE w:val="0"/>
        <w:autoSpaceDN w:val="0"/>
        <w:spacing w:after="0" w:line="360" w:lineRule="auto"/>
        <w:ind w:firstLine="567"/>
        <w:contextualSpacing/>
        <w:jc w:val="both"/>
        <w:textAlignment w:val="top"/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где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object w:dxaOrig="1359" w:dyaOrig="480">
          <v:shape id="_x0000_i1041" type="#_x0000_t75" style="width:67.5pt;height:24pt" o:ole="">
            <v:imagedata r:id="rId48" o:title=""/>
          </v:shape>
          <o:OLEObject Type="Embed" ProgID="Equation.3" ShapeID="_x0000_i1041" DrawAspect="Content" ObjectID="_1496469580" r:id="rId49"/>
        </w:objec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–</w:t>
      </w:r>
      <w:r w:rsidRPr="00EF269A">
        <w:rPr>
          <w:rFonts w:ascii="Times New Roman" w:eastAsia="Calibri" w:hAnsi="Times New Roman" w:cs="Times New Roman"/>
          <w:color w:val="000000"/>
          <w:spacing w:val="4"/>
          <w:position w:val="-16"/>
          <w:sz w:val="28"/>
          <w:szCs w:val="28"/>
          <w:lang w:eastAsia="en-US"/>
        </w:rPr>
        <w:t>врем</w:t>
      </w:r>
      <w:r>
        <w:rPr>
          <w:rFonts w:ascii="Times New Roman" w:eastAsia="Calibri" w:hAnsi="Times New Roman" w:cs="Times New Roman"/>
          <w:color w:val="000000"/>
          <w:spacing w:val="4"/>
          <w:position w:val="-16"/>
          <w:sz w:val="28"/>
          <w:szCs w:val="28"/>
          <w:lang w:eastAsia="en-US"/>
        </w:rPr>
        <w:t xml:space="preserve">я жизни возбужденного состояния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флу</w:t>
      </w: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ресценции.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ценить время жизни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яния 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любых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легк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рмуле:</w:t>
      </w:r>
    </w:p>
    <w:p w:rsidR="00A16BA8" w:rsidRPr="002C7684" w:rsidRDefault="00A16BA8" w:rsidP="00A16BA8">
      <w:pPr>
        <w:spacing w:before="120" w:after="12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2799" w:dyaOrig="420">
          <v:shape id="_x0000_i1042" type="#_x0000_t75" style="width:139.5pt;height:21pt" o:ole="">
            <v:imagedata r:id="rId50" o:title=""/>
          </v:shape>
          <o:OLEObject Type="Embed" ProgID="Equation.3" ShapeID="_x0000_i1042" DrawAspect="Content" ObjectID="_1496469581" r:id="rId51"/>
        </w:objec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>,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(2.3)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Эту величину легк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мерить.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 люминесценции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нальна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личеству частиц 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янии:</w:t>
      </w:r>
    </w:p>
    <w:p w:rsidR="00A16BA8" w:rsidRPr="00EF269A" w:rsidRDefault="00A16BA8" w:rsidP="00A16BA8">
      <w:pPr>
        <w:spacing w:after="12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1900" w:dyaOrig="380">
          <v:shape id="_x0000_i1043" type="#_x0000_t75" style="width:95.25pt;height:19.5pt" o:ole="">
            <v:imagedata r:id="rId52" o:title=""/>
          </v:shape>
          <o:OLEObject Type="Embed" ProgID="Equation.3" ShapeID="_x0000_i1043" DrawAspect="Content" ObjectID="_1496469582" r:id="rId53"/>
        </w:objec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,          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(2.4)</w:t>
      </w:r>
    </w:p>
    <w:p w:rsidR="00A16BA8" w:rsidRPr="00EF269A" w:rsidRDefault="00A16BA8" w:rsidP="00A16BA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где </w:t>
      </w:r>
      <w:r w:rsidRPr="00EF269A">
        <w:rPr>
          <w:rFonts w:ascii="Times New Roman" w:eastAsia="Calibri" w:hAnsi="Times New Roman" w:cs="Times New Roman"/>
          <w:color w:val="000000"/>
          <w:position w:val="-12"/>
          <w:sz w:val="28"/>
          <w:szCs w:val="28"/>
          <w:lang w:eastAsia="en-US"/>
        </w:rPr>
        <w:object w:dxaOrig="740" w:dyaOrig="380">
          <v:shape id="_x0000_i1044" type="#_x0000_t75" style="width:36.75pt;height:18.75pt" o:ole="">
            <v:imagedata r:id="rId54" o:title=""/>
          </v:shape>
          <o:OLEObject Type="Embed" ProgID="Equation.3" ShapeID="_x0000_i1044" DrawAspect="Content" ObjectID="_1496469583" r:id="rId55"/>
        </w:objec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–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люминесценции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тветственн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начальный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мент времени и через время </w:t>
      </w:r>
      <w:r w:rsidRPr="00EF269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Измеряя изменение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люминесценции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временем и экстрап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лируя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лученную кривую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ненциальн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лучим значение </w:t>
      </w:r>
      <w:r w:rsidRPr="00EF269A">
        <w:rPr>
          <w:rFonts w:ascii="Times New Roman" w:eastAsia="Calibri" w:hAnsi="Times New Roman" w:cs="Times New Roman"/>
          <w:color w:val="000000"/>
          <w:position w:val="-6"/>
          <w:sz w:val="28"/>
          <w:szCs w:val="28"/>
          <w:lang w:eastAsia="en-US"/>
        </w:rPr>
        <w:object w:dxaOrig="200" w:dyaOrig="240">
          <v:shape id="_x0000_i1045" type="#_x0000_t75" style="width:9.75pt;height:12pt" o:ole="">
            <v:imagedata r:id="rId56" o:title=""/>
          </v:shape>
          <o:OLEObject Type="Embed" ProgID="Equation.3" ShapeID="_x0000_i1045" DrawAspect="Content" ObjectID="_1496469584" r:id="rId57"/>
        </w:objec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widowControl w:val="0"/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также, измеряя изменение интенсивн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люминесценции на длине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лны,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тветствующей разнице (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T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en-US"/>
        </w:rPr>
        <w:t>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), мы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лучим время жизни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триплетн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 [6].</w:t>
      </w:r>
    </w:p>
    <w:p w:rsidR="00A16BA8" w:rsidRPr="00EF269A" w:rsidRDefault="00A16BA8" w:rsidP="00A16BA8">
      <w:pPr>
        <w:widowControl w:val="0"/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Кинетика затухания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нтанн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люминесценции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стейшем случае,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гда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пренебречь временем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релаксации и малы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сти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безылучательных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писывается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ненциальным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(2.4).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Измеряя кинетику люминесценции, мы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лучаем неп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средственн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нцентрации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збужденных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лекул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времени.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Время </w:t>
      </w:r>
      <w:r w:rsidRPr="00EF269A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eastAsia="en-US"/>
        </w:rPr>
        <w:object w:dxaOrig="200" w:dyaOrig="240">
          <v:shape id="_x0000_i1046" type="#_x0000_t75" style="width:9.75pt;height:12pt" o:ole="">
            <v:imagedata r:id="rId56" o:title=""/>
          </v:shape>
          <o:OLEObject Type="Embed" ProgID="Equation.3" ShapeID="_x0000_i1046" DrawAspect="Content" ObjectID="_1496469585" r:id="rId58"/>
        </w:objec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характеризует среднее время жизни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яния, 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братн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величине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 </w:t>
      </w:r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А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нтанн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в единицу времени.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Если квант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вый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люминесценции меньше единицы,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:</w:t>
      </w:r>
    </w:p>
    <w:p w:rsidR="00A16BA8" w:rsidRPr="00EF269A" w:rsidRDefault="00A16BA8" w:rsidP="00A16BA8">
      <w:pPr>
        <w:spacing w:before="120" w:after="120" w:line="240" w:lineRule="auto"/>
        <w:ind w:firstLine="567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en-US"/>
        </w:rPr>
        <w:t xml:space="preserve">                                            </w:t>
      </w:r>
      <w:r w:rsidRPr="00EF269A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en-US"/>
        </w:rPr>
        <w:object w:dxaOrig="1320" w:dyaOrig="360">
          <v:shape id="_x0000_i1047" type="#_x0000_t75" style="width:66pt;height:18.75pt" o:ole="">
            <v:imagedata r:id="rId59" o:title=""/>
          </v:shape>
          <o:OLEObject Type="Embed" ProgID="Equation.3" ShapeID="_x0000_i1047" DrawAspect="Content" ObjectID="_1496469586" r:id="rId60"/>
        </w:object>
      </w:r>
      <w:r w:rsidRPr="00EF269A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en-US"/>
        </w:rPr>
        <w:t xml:space="preserve">,      </w:t>
      </w:r>
      <w:r w:rsidRPr="00EF269A">
        <w:rPr>
          <w:rFonts w:ascii="Times New Roman" w:eastAsia="Times New Roman" w:hAnsi="Times New Roman" w:cs="Times New Roman"/>
          <w:color w:val="000000"/>
          <w:position w:val="-16"/>
          <w:sz w:val="24"/>
          <w:szCs w:val="28"/>
          <w:lang w:eastAsia="en-US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</w:t>
      </w:r>
      <w:r w:rsidRPr="00EF269A">
        <w:rPr>
          <w:rFonts w:ascii="Times New Roman" w:eastAsia="Times New Roman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</w:t>
      </w:r>
      <w:r w:rsidRPr="00EF269A">
        <w:rPr>
          <w:rFonts w:ascii="Times New Roman" w:eastAsia="Times New Roman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</w:t>
      </w:r>
      <w:r w:rsidRPr="002C7684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en-US"/>
        </w:rPr>
        <w:t>(2.5)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где </w:t>
      </w:r>
      <w:proofErr w:type="spellStart"/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q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–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сть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безызлучательн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тери энергии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В эт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м случае  эксп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ненциальный зак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н затухания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храняется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 xml:space="preserve">о </w:t>
      </w:r>
      <w:r w:rsidRPr="00EF26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n-US"/>
        </w:rPr>
        <w:t>при </w:t>
      </w:r>
    </w:p>
    <w:p w:rsidR="00A16BA8" w:rsidRPr="00EF269A" w:rsidRDefault="00A16BA8" w:rsidP="00A16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q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=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t>nst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казывается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зависящим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времени (например, если тушение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пределяется диффузи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нным сближением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 люминесцирующег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вещества и тушителя при индуктивн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-рез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механизме передачи энергии),затухание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люминесценции не является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ненциальным.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ненциальн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зникать также при люминесценции вещества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лщины,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гда спектры люминесценции 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щения перекрываются;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гда явления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реабс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рбции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переизлучения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дят к затягиванию люминесценции.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зникнуть инверсия населенн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в веществе,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гда на нижних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внях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казывается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льше частиц, чем на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лебательных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яния. В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случае наблюдается эффект усиления света,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 к изменению спектральн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става люминесценции, ее ярк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сти, кинетики и углу распределения. Такая люминесценция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называется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суперлюминесценцией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Кинетика метастабильн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люминесценции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сле прекращения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збуждения в случае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дним метастабильным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пределяется сумм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двух 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нент:</w:t>
      </w:r>
    </w:p>
    <w:p w:rsidR="00A16BA8" w:rsidRPr="00EF269A" w:rsidRDefault="00A16BA8" w:rsidP="00A16BA8">
      <w:pPr>
        <w:spacing w:before="120" w:after="0" w:line="240" w:lineRule="auto"/>
        <w:contextualSpacing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                                  </w:t>
      </w:r>
      <w:r w:rsidRPr="00C976E8">
        <w:rPr>
          <w:rFonts w:ascii="Times New Roman" w:eastAsia="Calibri" w:hAnsi="Times New Roman" w:cs="Times New Roman"/>
          <w:color w:val="000000"/>
          <w:position w:val="-16"/>
          <w:sz w:val="24"/>
          <w:szCs w:val="24"/>
          <w:lang w:eastAsia="en-US"/>
        </w:rPr>
        <w:object w:dxaOrig="4220" w:dyaOrig="380">
          <v:shape id="_x0000_i1048" type="#_x0000_t75" style="width:210.75pt;height:19.5pt" o:ole="">
            <v:imagedata r:id="rId61" o:title=""/>
          </v:shape>
          <o:OLEObject Type="Embed" ProgID="Equation.3" ShapeID="_x0000_i1048" DrawAspect="Content" ObjectID="_1496469587" r:id="rId62"/>
        </w:objec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,        </w:t>
      </w: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</w:t>
      </w: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(2.6)</w:t>
      </w:r>
    </w:p>
    <w:p w:rsidR="00A16BA8" w:rsidRPr="00EF269A" w:rsidRDefault="00A16BA8" w:rsidP="00A16BA8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причем времена жизни</w:t>
      </w:r>
      <w:r w:rsidRPr="00EF269A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en-US"/>
        </w:rPr>
        <w:object w:dxaOrig="820" w:dyaOrig="380">
          <v:shape id="_x0000_i1049" type="#_x0000_t75" style="width:41.25pt;height:18.75pt" o:ole="">
            <v:imagedata r:id="rId63" o:title=""/>
          </v:shape>
          <o:OLEObject Type="Embed" ProgID="Equation.3" ShapeID="_x0000_i1049" DrawAspect="Content" ObjectID="_1496469588" r:id="rId64"/>
        </w:objec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на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внях зависят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стей излучательных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безы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злучательных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а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эксп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ненциальные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жители </w:t>
      </w:r>
      <w:r w:rsidRPr="00EF269A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en-US"/>
        </w:rPr>
        <w:object w:dxaOrig="920" w:dyaOrig="380">
          <v:shape id="_x0000_i1050" type="#_x0000_t75" style="width:45.75pt;height:18.75pt" o:ole="">
            <v:imagedata r:id="rId65" o:title=""/>
          </v:shape>
          <o:OLEObject Type="Embed" ProgID="Equation.3" ShapeID="_x0000_i1050" DrawAspect="Content" ObjectID="_1496469589" r:id="rId66"/>
        </w:object>
      </w:r>
      <w:r w:rsidRPr="00EF269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 xml:space="preserve"> –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ме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начальн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яния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лекул.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 </w:t>
      </w:r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безы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злучательн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да с метастабильн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вня на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вень  испускания  при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щении энергии тепл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движения зависит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лютн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температуры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Т</w:t>
      </w:r>
      <w:r w:rsidRPr="00EF269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:</w:t>
      </w:r>
    </w:p>
    <w:p w:rsidR="00A16BA8" w:rsidRPr="00EF269A" w:rsidRDefault="00A16BA8" w:rsidP="00A16BA8">
      <w:pPr>
        <w:spacing w:after="12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 xml:space="preserve">               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2100" w:dyaOrig="720">
          <v:shape id="_x0000_i1051" type="#_x0000_t75" style="width:105pt;height:36.75pt" o:ole="">
            <v:imagedata r:id="rId67" o:title=""/>
          </v:shape>
          <o:OLEObject Type="Embed" ProgID="Equation.3" ShapeID="_x0000_i1051" DrawAspect="Content" ObjectID="_1496469590" r:id="rId68"/>
        </w:objec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,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(2.7)</w:t>
      </w:r>
    </w:p>
    <w:p w:rsidR="00A16BA8" w:rsidRPr="00EF269A" w:rsidRDefault="00A16BA8" w:rsidP="00A16BA8">
      <w:pPr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где </w:t>
      </w:r>
      <w:r w:rsidRPr="00EF269A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eastAsia="en-US"/>
        </w:rPr>
        <w:object w:dxaOrig="380" w:dyaOrig="300">
          <v:shape id="_x0000_i1052" type="#_x0000_t75" style="width:18.75pt;height:15pt" o:ole="">
            <v:imagedata r:id="rId69" o:title=""/>
          </v:shape>
          <o:OLEObject Type="Embed" ProgID="Equation.3" ShapeID="_x0000_i1052" DrawAspect="Content" ObjectID="_1496469591" r:id="rId70"/>
        </w:objec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– глубина метастабильн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вня </w:t>
      </w:r>
      <w:r w:rsidRPr="00EF269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испускания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связи с этим время затухания метастабильн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люминесценции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казывается резк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зависящим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температуры,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тличие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нтанн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й, в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температурная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сть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является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через тушение.</w:t>
      </w:r>
    </w:p>
    <w:p w:rsidR="00A16BA8" w:rsidRPr="00EF269A" w:rsidRDefault="00A16BA8" w:rsidP="00A16BA8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стейшем случае кинетика 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мбинаци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й люминесценции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писывается уравнением бим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лекулярн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реакции, решение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дит к гиперб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му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ну затухания (</w:t>
      </w:r>
      <w:proofErr w:type="spellStart"/>
      <w:r w:rsidRPr="00EF2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n-US"/>
        </w:rPr>
        <w:t>р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 =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c</w:t>
      </w:r>
      <w:r w:rsidRPr="00953ED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n-US"/>
        </w:rPr>
        <w:t>nst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):</w:t>
      </w:r>
    </w:p>
    <w:p w:rsidR="00A16BA8" w:rsidRPr="00EF269A" w:rsidRDefault="00A16BA8" w:rsidP="00A16BA8">
      <w:pPr>
        <w:spacing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1820" w:dyaOrig="460">
          <v:shape id="_x0000_i1053" type="#_x0000_t75" style="width:90pt;height:23.25pt" o:ole="">
            <v:imagedata r:id="rId71" o:title=""/>
          </v:shape>
          <o:OLEObject Type="Embed" ProgID="Equation.3" ShapeID="_x0000_i1053" DrawAspect="Content" ObjectID="_1496469592" r:id="rId72"/>
        </w:objec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                                         </w: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(2.8)</w:t>
      </w:r>
    </w:p>
    <w:p w:rsidR="00A16BA8" w:rsidRPr="00EF269A" w:rsidRDefault="00A16BA8" w:rsidP="00A16BA8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Кинетика люминесценции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кристалл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жна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пределяется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стями излучатательн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бези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злучательн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перех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в, 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стями захвата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ждения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и дыр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вушками.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гих случаях в шир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не времен кинетика затухания люминесценции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аппр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ксимируется гиперб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й Беккереля (</w:t>
      </w:r>
      <w:r w:rsidRPr="00EF269A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eastAsia="en-US"/>
        </w:rPr>
        <w:object w:dxaOrig="620" w:dyaOrig="300">
          <v:shape id="_x0000_i1054" type="#_x0000_t75" style="width:30.75pt;height:15pt" o:ole="">
            <v:imagedata r:id="rId73" o:title=""/>
          </v:shape>
          <o:OLEObject Type="Embed" ProgID="Equation.3" ShapeID="_x0000_i1054" DrawAspect="Content" ObjectID="_1496469593" r:id="rId74"/>
        </w:objec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):</w:t>
      </w:r>
    </w:p>
    <w:p w:rsidR="00A16BA8" w:rsidRPr="00EF269A" w:rsidRDefault="00A16BA8" w:rsidP="00A16BA8">
      <w:pPr>
        <w:spacing w:before="120" w:after="120" w:line="240" w:lineRule="auto"/>
        <w:jc w:val="right"/>
        <w:textAlignment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object w:dxaOrig="1820" w:dyaOrig="460">
          <v:shape id="_x0000_i1055" type="#_x0000_t75" style="width:90pt;height:23.25pt" o:ole="">
            <v:imagedata r:id="rId75" o:title=""/>
          </v:shape>
          <o:OLEObject Type="Embed" ProgID="Equation.3" ShapeID="_x0000_i1055" DrawAspect="Content" ObjectID="_1496469594" r:id="rId76"/>
        </w:object>
      </w:r>
      <w:r w:rsidRPr="002C7684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,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</w:t>
      </w:r>
      <w:r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       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4"/>
          <w:szCs w:val="28"/>
          <w:lang w:eastAsia="en-US"/>
        </w:rPr>
        <w:t xml:space="preserve">         </w:t>
      </w:r>
      <w:r w:rsidRPr="007F6F3F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(2.9)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 включении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света наблюдаются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цессы нарастания ярк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сти люминесценции, связанные с 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плением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на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вушках. В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усл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вий, в частн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глубины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вушек и температуры, затухание люминесценции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кристалл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лжаться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 ~10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US"/>
        </w:rPr>
        <w:t>-8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льких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в.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Если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дят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цессы тушения,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кращается время затухания люминесценции и уменьшается ее 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д. При изучении кинетики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люминесценции кристалл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учитывать также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ждение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из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вушек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 действием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[7].</w:t>
      </w:r>
    </w:p>
    <w:p w:rsidR="00A16BA8" w:rsidRPr="00EF269A" w:rsidRDefault="00A16BA8" w:rsidP="00A16BA8">
      <w:pPr>
        <w:suppressAutoHyphens/>
        <w:spacing w:before="36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Toc348526076"/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 Мет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ды изучения кинетики люминесценции</w:t>
      </w:r>
      <w:bookmarkEnd w:id="2"/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прямым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первичных стадий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химических реакций является изучение кинетики люминесценции (зак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рания и затухания люминесценции).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для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люминесценции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либ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ткие импульсы света, либ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ванный свет.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секундные и пик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секундные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чники света и выс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чувствительные сверхбыстрые системы регистрации пред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ставляют исключительные с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чки зрения химическ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кинетики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для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механизм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наиб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лее быстрых химических реакций. 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изучения кинетики люминесценции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импульсные и фаз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ды. В импульсных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дах люминесценция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збуждается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чным или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ряемым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света.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требуются импульсный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 света с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крутым задним фр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 и система регистрации с мал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времени. В фаз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дах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збуждение люминесценции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 непрерывным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света,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делир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вана с нек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част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й, и регистрируется фаза и (или)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глубина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дуляции испускаем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излучения. </w:t>
      </w:r>
    </w:p>
    <w:p w:rsidR="00A16BA8" w:rsidRPr="00EF269A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Импульсные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ляют изучать кинетику при люб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характере затухания люминесценции. В фаз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 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заранее предп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лагать вид зак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затухания люминесценции, и экспериментальн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пределяют лишь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личественные значения параметр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верка правильн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предп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лагаем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требует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вания. </w:t>
      </w:r>
    </w:p>
    <w:p w:rsidR="00A16BA8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 изучении кинетики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лекулярн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ресценции,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бычн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характеризующейся временем затухания в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–10 с,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льзуют, как правил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импульсные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ды. Для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 в пик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и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(10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-12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–10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-7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с)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нах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импульсные и фаз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[8].</w:t>
      </w:r>
    </w:p>
    <w:p w:rsidR="00A16BA8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1251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Импульсные методы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 для измерения кинетики люминесценции включает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 света и систему регистрации.</w:t>
      </w:r>
    </w:p>
    <w:p w:rsidR="00A16BA8" w:rsidRDefault="00A16BA8" w:rsidP="00A16BA8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1251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Импульсные источники света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измерения кинетики затухания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 требуются импульсы света с длительн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 и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лучение таких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тким фр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представляет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бых трудн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стей 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жет быть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беспечен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щи различных механических затв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засл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к, вращающихся диск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или цилиндр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с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тверстиями при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вании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бычных стаци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нарных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света. 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Существует 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нструкций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риметр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льзующих принцип механическ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прерывания света.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микр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и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лучения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прих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специальные импульсные лампы.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Характеристики нек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рых импульсных ламп приведены в табл.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2.2.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Приведенные параметры не являются предельными, а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риентир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чными для типичных (ин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лучших)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 или серийн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выпускаемых 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дический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секундных свет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вых</w:t>
      </w:r>
      <w:r w:rsidRPr="00471EF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представляет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разрядник, заряжаемый через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тивление (неск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десятк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м)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напряжения 10–20 кВ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тех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 не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йдет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разрядн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межутка. 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нденсат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 играет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бственная емк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рпуса лампы. Вследствие мал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величины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емк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и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балластн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тивления </w:t>
      </w:r>
    </w:p>
    <w:p w:rsidR="00A16BA8" w:rsidRPr="00C976E8" w:rsidRDefault="00A16BA8" w:rsidP="00A16BA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разряд быстр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гаснет и начинается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вый цикл зарядки. Спектр лампы зависит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газа и давления. При низких давлениях спектр линейчатый, при выс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ких–спл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й. Электрические импульсы,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лучаемые на вт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де,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гут быть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ваны в качестве запускающих для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системы регистрации.</w:t>
      </w:r>
    </w:p>
    <w:p w:rsidR="00A16BA8" w:rsidRDefault="00A16BA8" w:rsidP="00A16BA8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A16BA8" w:rsidRDefault="00A16BA8" w:rsidP="00A16BA8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A16BA8" w:rsidRPr="00D1251C" w:rsidRDefault="00A16BA8" w:rsidP="00A16BA8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1251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Таблица 2.2 </w:t>
      </w:r>
    </w:p>
    <w:p w:rsidR="00A16BA8" w:rsidRPr="00F72920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F7292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Характеристики нек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</w:t>
      </w:r>
      <w:r w:rsidRPr="00F7292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т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</w:t>
      </w:r>
      <w:r w:rsidRPr="00F7292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рых импульсных ламп и лазер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</w:t>
      </w:r>
      <w:r w:rsidRPr="00F72920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в</w:t>
      </w:r>
    </w:p>
    <w:tbl>
      <w:tblPr>
        <w:tblStyle w:val="af"/>
        <w:tblW w:w="0" w:type="auto"/>
        <w:tblInd w:w="108" w:type="dxa"/>
        <w:tblLook w:val="04A0"/>
      </w:tblPr>
      <w:tblGrid>
        <w:gridCol w:w="1134"/>
        <w:gridCol w:w="2694"/>
        <w:gridCol w:w="1943"/>
        <w:gridCol w:w="1666"/>
        <w:gridCol w:w="1237"/>
        <w:gridCol w:w="1355"/>
      </w:tblGrid>
      <w:tr w:rsidR="00A16BA8" w:rsidRPr="00F72920" w:rsidTr="00765E86">
        <w:tc>
          <w:tcPr>
            <w:tcW w:w="3828" w:type="dxa"/>
            <w:gridSpan w:val="2"/>
            <w:vMerge w:val="restart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Ист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чник света</w:t>
            </w:r>
          </w:p>
        </w:tc>
        <w:tc>
          <w:tcPr>
            <w:tcW w:w="1943" w:type="dxa"/>
            <w:vMerge w:val="restart"/>
          </w:tcPr>
          <w:p w:rsidR="00A16BA8" w:rsidRPr="00F72920" w:rsidRDefault="00A16BA8" w:rsidP="00765E86">
            <w:pPr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  Длина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лны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излучения, нм</w:t>
            </w:r>
          </w:p>
        </w:tc>
        <w:tc>
          <w:tcPr>
            <w:tcW w:w="1666" w:type="dxa"/>
            <w:vMerge w:val="restart"/>
          </w:tcPr>
          <w:p w:rsidR="00A16BA8" w:rsidRPr="00F72920" w:rsidRDefault="00A16BA8" w:rsidP="00765E86">
            <w:pPr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Длительн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сть импульса, с</w:t>
            </w:r>
          </w:p>
        </w:tc>
        <w:tc>
          <w:tcPr>
            <w:tcW w:w="2592" w:type="dxa"/>
            <w:gridSpan w:val="2"/>
          </w:tcPr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Энергия импульса</w:t>
            </w:r>
          </w:p>
        </w:tc>
      </w:tr>
      <w:tr w:rsidR="00A16BA8" w:rsidRPr="00F72920" w:rsidTr="00765E86">
        <w:tc>
          <w:tcPr>
            <w:tcW w:w="3828" w:type="dxa"/>
            <w:gridSpan w:val="2"/>
            <w:vMerge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</w:tc>
        <w:tc>
          <w:tcPr>
            <w:tcW w:w="1943" w:type="dxa"/>
            <w:vMerge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</w:tcPr>
          <w:p w:rsidR="00A16BA8" w:rsidRPr="00F72920" w:rsidRDefault="00A16BA8" w:rsidP="00765E86">
            <w:pPr>
              <w:ind w:firstLine="393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Дж</w:t>
            </w:r>
          </w:p>
        </w:tc>
        <w:tc>
          <w:tcPr>
            <w:tcW w:w="1355" w:type="dxa"/>
          </w:tcPr>
          <w:p w:rsidR="00A16BA8" w:rsidRPr="00F72920" w:rsidRDefault="00A16BA8" w:rsidP="00765E86">
            <w:pPr>
              <w:ind w:firstLine="149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ф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</w:t>
            </w:r>
          </w:p>
        </w:tc>
      </w:tr>
      <w:tr w:rsidR="00A16BA8" w:rsidRPr="00F72920" w:rsidTr="00765E86">
        <w:tc>
          <w:tcPr>
            <w:tcW w:w="1134" w:type="dxa"/>
          </w:tcPr>
          <w:p w:rsidR="00A16BA8" w:rsidRPr="00F72920" w:rsidRDefault="00A16BA8" w:rsidP="00765E86">
            <w:pPr>
              <w:ind w:firstLine="34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Лампы</w:t>
            </w:r>
          </w:p>
        </w:tc>
        <w:tc>
          <w:tcPr>
            <w:tcW w:w="2694" w:type="dxa"/>
          </w:tcPr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ксен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вые</w:t>
            </w: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тная искр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вая</w:t>
            </w:r>
          </w:p>
        </w:tc>
        <w:tc>
          <w:tcPr>
            <w:tcW w:w="1943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200–1000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290–450</w:t>
            </w:r>
          </w:p>
        </w:tc>
        <w:tc>
          <w:tcPr>
            <w:tcW w:w="1666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-6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–10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-5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-9</w:t>
            </w:r>
          </w:p>
        </w:tc>
        <w:tc>
          <w:tcPr>
            <w:tcW w:w="1237" w:type="dxa"/>
          </w:tcPr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2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–10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3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-5</w:t>
            </w:r>
          </w:p>
        </w:tc>
        <w:tc>
          <w:tcPr>
            <w:tcW w:w="1355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19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11</w:t>
            </w:r>
          </w:p>
        </w:tc>
      </w:tr>
      <w:tr w:rsidR="00A16BA8" w:rsidRPr="00F72920" w:rsidTr="00765E86">
        <w:trPr>
          <w:trHeight w:val="752"/>
        </w:trPr>
        <w:tc>
          <w:tcPr>
            <w:tcW w:w="1134" w:type="dxa"/>
          </w:tcPr>
          <w:p w:rsidR="00A16BA8" w:rsidRPr="00F72920" w:rsidRDefault="00A16BA8" w:rsidP="00765E86">
            <w:pPr>
              <w:ind w:firstLine="34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Лазеры</w:t>
            </w:r>
          </w:p>
        </w:tc>
        <w:tc>
          <w:tcPr>
            <w:tcW w:w="2694" w:type="dxa"/>
          </w:tcPr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тный</w:t>
            </w: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рубин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вый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дим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е</w:t>
            </w:r>
            <w:proofErr w:type="spellEnd"/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 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стекл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рганические красители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арг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вый</w:t>
            </w:r>
          </w:p>
          <w:p w:rsidR="00A16BA8" w:rsidRPr="00F72920" w:rsidRDefault="00A16BA8" w:rsidP="00765E86">
            <w:pPr>
              <w:ind w:hanging="108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крипт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вый</w:t>
            </w:r>
          </w:p>
        </w:tc>
        <w:tc>
          <w:tcPr>
            <w:tcW w:w="1943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337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694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347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231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1064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532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354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266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340–1300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450–520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647,646 (д</w:t>
            </w:r>
            <w:r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о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 xml:space="preserve"> 950)</w:t>
            </w:r>
          </w:p>
        </w:tc>
        <w:tc>
          <w:tcPr>
            <w:tcW w:w="1666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-9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–10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5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5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5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5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sym w:font="Symbol" w:char="F02A"/>
            </w:r>
          </w:p>
        </w:tc>
        <w:tc>
          <w:tcPr>
            <w:tcW w:w="1237" w:type="dxa"/>
          </w:tcPr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–10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-2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0,1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3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-2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sym w:font="Symbol" w:char="F0D7"/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-2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0,3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-1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-2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-6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-7</w:t>
            </w:r>
          </w:p>
          <w:p w:rsidR="00A16BA8" w:rsidRPr="00F72920" w:rsidRDefault="00A16BA8" w:rsidP="00765E86">
            <w:pPr>
              <w:ind w:firstLine="110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-7</w:t>
            </w:r>
          </w:p>
        </w:tc>
        <w:tc>
          <w:tcPr>
            <w:tcW w:w="1355" w:type="dxa"/>
          </w:tcPr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15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17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16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16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18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19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17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17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9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10</w:t>
            </w:r>
          </w:p>
          <w:p w:rsidR="00A16BA8" w:rsidRPr="00F72920" w:rsidRDefault="00A16BA8" w:rsidP="00765E86">
            <w:pPr>
              <w:ind w:firstLine="567"/>
              <w:contextualSpacing/>
              <w:jc w:val="both"/>
              <w:textAlignment w:val="center"/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</w:pP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lang w:eastAsia="en-US"/>
              </w:rPr>
              <w:t>10</w:t>
            </w:r>
            <w:r w:rsidRPr="00F72920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  <w:vertAlign w:val="superscript"/>
                <w:lang w:eastAsia="en-US"/>
              </w:rPr>
              <w:t>10</w:t>
            </w:r>
          </w:p>
        </w:tc>
      </w:tr>
    </w:tbl>
    <w:p w:rsidR="00A16BA8" w:rsidRPr="00EB1C40" w:rsidRDefault="00A16BA8" w:rsidP="00A16BA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B1C40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en-US"/>
        </w:rPr>
        <w:sym w:font="Symbol" w:char="F02A"/>
      </w:r>
      <w:r w:rsidRPr="00EB1C4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 режиме синхронизации мод</w:t>
      </w:r>
    </w:p>
    <w:p w:rsidR="00A16BA8" w:rsidRPr="00EB1C40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B1C40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en-US"/>
        </w:rPr>
        <w:sym w:font="Symbol" w:char="F02A"/>
      </w:r>
      <w:r w:rsidRPr="00EB1C40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en-US"/>
        </w:rPr>
        <w:sym w:font="Symbol" w:char="F02A"/>
      </w:r>
      <w:r w:rsidRPr="00EB1C4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 использованием умножения частоты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Наилучшими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чниками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щных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света являются лазеры. В наст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ящее время разраб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выпускается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мышленн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личеств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импульсных лазер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различных тип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Лазеры, 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тающие в режиме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сти, дают импульсы длительн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-9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-8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с, а в режиме синхр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низации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–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-13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(табл.2.2).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умн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жения част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т(при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ждении лазерн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 через нек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рые сильн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ляризующиеся кристаллы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зникает излучение с част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2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6E"/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6E"/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или 4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6E"/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и лазер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на красителях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ляет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лучать лазерные импульсы люб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длины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лны в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 250–1300 нм. К нед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статкам лазер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следует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тнести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результате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гут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зникать специфические «лазерные» эффекты (эффекты, связанные с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нцентрацией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збужденных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и их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действием между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 нелинейные эффекты), и 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в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химически активных системах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быстрый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лиз вещества. Характеристики нек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рых импульсных лазер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приведены в табл.2.2.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для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люминесценции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ткие импульсы рентген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излучения или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 импульсы,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лучаемые на уск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рителях [8].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сцилл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графическая регистрация.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стейшей систем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для наблюдения за кинетик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люминесценции является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житель с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сцилл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Эта система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ляет легк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измерять время затухания,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льшее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-6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с. Для 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ты в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 прих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вать специальные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бирующие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сцилл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графы.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збуждении лазерными импульсами вследствие их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для регистрации люминесценции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специальные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аксиальные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элементы,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рые 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мбинации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сверхвыс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тным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сцилл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дают разрешающую 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в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секунды.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Регистрация при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щи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птических пре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вателей. В наст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ящее время разраб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таны специальные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птические пре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ватели,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ляющие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существлять развертку из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бражения за время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рядка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 и пик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секунд,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временн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усиливая ярк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бражений. В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четании с лазерным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збуждением такие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йства дают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кинетику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 в этих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нах. К нед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статкам таких систем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сится 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для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весьма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щных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при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рых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нцентрация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збужденных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стигает значительн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величины, 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зникают различные нелинейные явления (взаимн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тушение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збужденных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и т. п.).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вание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.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Принцип 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заключается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первичная регистрирующая система включается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 на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время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импульса. Задержка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степенн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увеличивается и таким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существляется сканир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вание 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сигнала (рис.2.2). 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5267325" cy="1409295"/>
            <wp:effectExtent l="19050" t="0" r="9525" b="0"/>
            <wp:docPr id="548" name="Рисунок 25" descr="D:\УЧЁБА\Диплом Игорь\Рис.1.2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УЧЁБА\Диплом Игорь\Рис.1.2..bmp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91" cy="14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Рис.2.2.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График,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бъясняющий принцип стр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бир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вания</w:t>
      </w:r>
    </w:p>
    <w:p w:rsidR="00A16BA8" w:rsidRPr="00EF269A" w:rsidRDefault="00A16BA8" w:rsidP="00A16BA8">
      <w:pPr>
        <w:spacing w:before="240"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Иными 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вами, сигнал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ступает с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система регистрирует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кажд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значению амплитуды с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+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44"/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лучается сигнал,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тветствующий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ступающему,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растянутый в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44"/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бирующих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системах все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йства усиления и регистрации, 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 первичн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тают в значительн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низк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част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сравнению с исследуемым сигнал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м. Наблюдается также улучшение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шения сигнал/шум. Запись сигнала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существляться сам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писцем.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измерения в миллисекундн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 (ф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ресценция)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льзуют механические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бирующие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йства, например систему из двух диск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резями, вращающихся с неск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различающимися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стями. Вариант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бирующег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йства с визуальн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или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графическ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регистрацией служит первый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 Вуда. Разн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 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является 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льзуемый 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пределения времени затухания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регистрируем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ресценции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вращения цилиндра с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резями в стандартн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риметре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измерения в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и пик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нах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нные 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птические системы 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вания. В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нных системах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льзуют импульсн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 питание ФЭУ.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птических системах применяют затв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ры,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ванные на эффектах Керра 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ккельса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явление 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канальных анализат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разраб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танных перв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начальн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для ядерн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физики,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применить их для статистическ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регистрации слабых свет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вых сигнал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в.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пределенных усл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виях ФЭУ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гут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тать в режиме регистрации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чных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Для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льзуют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нелинейн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распределение напряжений на дин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дах и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кусирующих электр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дах ФЭУ и усилители с малым вх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дным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тивлением.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на вых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лучают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тдельные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ткие (п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рядка 10 нс) импульсы,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тветствующие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павшим на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нам. При удачн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распределении напряжений питания ФЭУ амплитуда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лезных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существенн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выше амплитуды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льшинства шум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лезные импульсы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гут быть выделены при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щи амплитудн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дискриминат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 импульсы ФЭУ регистрируются (суммируются) в регистрах 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канальн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временн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анализат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 за 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цикл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збуждения. Развертка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каналам включается каждый раз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импульса. Такая система чрезвычайн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бна для регистрации кинетики люминесценции в шир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оне 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-6</w:t>
      </w: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десятк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секунд.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ляет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затухание люминесценции на неск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рядк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лезна для изучения не эксп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ненциальн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затухания.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канальные анализат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 не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ляют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дить развертку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стью,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льшей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-7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канал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в секунду.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бы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йти эту трудн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счета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в нан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секундн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бласти, применяют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время-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амплитудн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вания.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 заключается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импульсы ФЭУ перв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начальн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бразуются специальным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в другие импульсы, амплитуда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нальна интервалу времени между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и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ФЭУ, а затем уже 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канальным анализат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амплитуды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регистрируется распределение этих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амплитудам (рис.2.3).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292713" cy="2143125"/>
            <wp:effectExtent l="19050" t="0" r="2937" b="0"/>
            <wp:docPr id="549" name="Рисунок 26" descr="D:\УЧЁБА\Диплом Игорь\Рис.1.3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УЧЁБА\Диплом Игорь\Рис.1.3.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71" cy="21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C976E8" w:rsidRDefault="00A16BA8" w:rsidP="00A16BA8">
      <w:pPr>
        <w:spacing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lastRenderedPageBreak/>
        <w:t>Рис.2.3.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График,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бъясняющий принцип время-амплитудн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г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пре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браз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вания: а) сигнал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т вспышки; б) сигнал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ФЭУ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Иными 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вами, сигнал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вспышки 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а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«старт», включает схему, заряжающую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нденсат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р; сигнал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ФЭУ 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б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«ст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п», выключает. Амплитуда напряжения на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нденсат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нальна временн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интервалу между импульсами.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явления импульса на вых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 ФЭУ прям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 пропорциональна числу фотонов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падающих на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фотокатод и следовательно числу фотонов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испускаемых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м. </w:t>
      </w:r>
    </w:p>
    <w:p w:rsidR="00A16BA8" w:rsidRPr="00EF269A" w:rsidRDefault="00A16BA8" w:rsidP="00A16BA8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значив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ресценции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 времени 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t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через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I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t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а вер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явления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ФЭУ через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F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t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лучим:</w:t>
      </w:r>
    </w:p>
    <w:p w:rsidR="00A16BA8" w:rsidRDefault="00A16BA8" w:rsidP="00A16BA8">
      <w:pPr>
        <w:tabs>
          <w:tab w:val="left" w:pos="3720"/>
          <w:tab w:val="right" w:pos="9356"/>
        </w:tabs>
        <w:spacing w:before="100" w:after="12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ab/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ab/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object w:dxaOrig="1579" w:dyaOrig="360">
          <v:shape id="_x0000_i1056" type="#_x0000_t75" style="width:79.5pt;height:18.75pt" o:ole="">
            <v:imagedata r:id="rId79" o:title=""/>
          </v:shape>
          <o:OLEObject Type="Embed" ProgID="Equation.3" ShapeID="_x0000_i1056" DrawAspect="Content" ObjectID="_1496469595" r:id="rId80"/>
        </w:object>
      </w: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,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                             </w:t>
      </w:r>
      <w:r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  </w: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 xml:space="preserve">            (2.10)</w:t>
      </w:r>
    </w:p>
    <w:p w:rsidR="00A16BA8" w:rsidRPr="00D1251C" w:rsidRDefault="00A16BA8" w:rsidP="00A16BA8">
      <w:pPr>
        <w:tabs>
          <w:tab w:val="left" w:pos="3720"/>
          <w:tab w:val="right" w:pos="9356"/>
        </w:tabs>
        <w:spacing w:before="60" w:after="60" w:line="36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Регистрируя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числа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ФЭУ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интервал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времени между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збуждающими регистрируемым импульсами при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числе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збуждающих вспышек,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лучают функцию распределения,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нальную кинетическ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ресценции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I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t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). Если на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умн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житель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сле импульса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падут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два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на, будет зарегистрир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 лишь первый из них. В результате при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вер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падания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лее чем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на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ФЭУ велика,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искажение регистрируем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кинетическ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й,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являющееся в «уск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рении» затухания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 (так как при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льшем времени будет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ваться меньше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чем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на ФЭУ,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есть будет имитир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ваться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быстр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затухание).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избежать, если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бще не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никаких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на ФЭУ за время между двумя импульсами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падает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лее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на.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выс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кинетику затухания 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ресценции, даже,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гда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дин регистрируемый импульс прих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 на три-четыре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збуждающих импульса. В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случае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измерения примерн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равна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 регистрируемых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[8].</w:t>
      </w:r>
    </w:p>
    <w:p w:rsidR="00A16BA8" w:rsidRPr="00CC6A78" w:rsidRDefault="00A16BA8" w:rsidP="00A16BA8">
      <w:pPr>
        <w:spacing w:after="0" w:line="36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Анализат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 амплитуды 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ляет нак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пить инф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рмацию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функции распределения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F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за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числ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вспышек. Практически для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лучения кинетическ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не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4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–10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6</w:t>
      </w: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импульс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(т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есть требуется не менее 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5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–10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7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збуждающих вспышек). Для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градуир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временн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шкалы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вки уд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кабельные линии переменн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задержки. Введение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лнительн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задержки в канал прив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к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тветствующему смещению кинетическ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фаз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мет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света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 меняется, 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 измерение фазы или глубины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дуляции люминесценции.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люминесценции системы будет выражаться уравнением:</w:t>
      </w:r>
    </w:p>
    <w:p w:rsidR="00A16BA8" w:rsidRPr="00EF269A" w:rsidRDefault="00A16BA8" w:rsidP="00A16BA8">
      <w:pPr>
        <w:spacing w:before="120" w:after="120" w:line="240" w:lineRule="auto"/>
        <w:ind w:firstLine="567"/>
        <w:jc w:val="right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object w:dxaOrig="2400" w:dyaOrig="800">
          <v:shape id="_x0000_i1057" type="#_x0000_t75" style="width:120pt;height:41.25pt" o:ole="">
            <v:imagedata r:id="rId81" o:title=""/>
          </v:shape>
          <o:OLEObject Type="Embed" ProgID="Equation.3" ShapeID="_x0000_i1057" DrawAspect="Content" ObjectID="_1496469596" r:id="rId82"/>
        </w:object>
      </w:r>
      <w:r w:rsidRPr="00EF269A">
        <w:rPr>
          <w:rFonts w:ascii="Times New Roman" w:eastAsia="Calibri" w:hAnsi="Times New Roman" w:cs="Times New Roman"/>
          <w:color w:val="000000"/>
          <w:position w:val="-16"/>
          <w:sz w:val="28"/>
          <w:szCs w:val="28"/>
          <w:lang w:eastAsia="en-US"/>
        </w:rPr>
        <w:t>,                                               (2.11)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где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E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– функция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збуждения, для уд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бства раскладываемая в ряд Фурье,           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i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 xml:space="preserve"> -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– интенсивн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испускания частиц,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збужденных в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менты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=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2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,… (характеристическая функция затухания люминесценции).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Интеграл (2.11) называют свертк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функций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E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и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i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-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x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). 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анализ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бщем виде не представляется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жным, 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пределение требует 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жных математических расчет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Измерения пр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дятся при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щи фаз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-м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дуляци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нных </w:t>
      </w:r>
      <w:proofErr w:type="spellStart"/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флу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риметр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proofErr w:type="spellEnd"/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. Для 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дуляции света с част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й 10</w:t>
      </w:r>
      <w:r w:rsidRPr="00EF269A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7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–10</w:t>
      </w:r>
      <w:r w:rsidRPr="00EF269A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8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Гц чаще всег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льзуют ультразвук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вые дифракци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нные решетки или ячейки Керра или </w:t>
      </w:r>
      <w:proofErr w:type="spellStart"/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ккельса</w:t>
      </w:r>
      <w:proofErr w:type="spellEnd"/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четании с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ляризат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рами света. В качестве приемника света исп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льзуют ф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жители. Фаз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е детектир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вание 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пределение глубины 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дуляции пр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изв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дят при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щи специальн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й электр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й аппаратуры (узк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сных усилителей, фаз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вых детект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в). Сдвиг фазы 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измерять с 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стью 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0,1%,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зв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ляя тем самым измерять время затухания 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10</w:t>
      </w:r>
      <w:r w:rsidRPr="00EF269A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-10</w:t>
      </w:r>
      <w:r w:rsidRPr="00EF269A">
        <w:rPr>
          <w:rFonts w:ascii="Times New Roman" w:eastAsia="Calibri" w:hAnsi="Times New Roman" w:cs="Times New Roman"/>
          <w:sz w:val="28"/>
          <w:szCs w:val="28"/>
          <w:lang w:eastAsia="en-US"/>
        </w:rPr>
        <w:t>с [8].</w:t>
      </w:r>
    </w:p>
    <w:p w:rsidR="00A16BA8" w:rsidRPr="00EF269A" w:rsidRDefault="00A16BA8" w:rsidP="00A16BA8">
      <w:pPr>
        <w:suppressAutoHyphens/>
        <w:spacing w:before="36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Toc348526082"/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дика исслед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вания кинетики люминесценции на </w:t>
      </w:r>
      <w:r w:rsidRPr="00EF26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спектр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флу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риметре 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Флю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рат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02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рама</w:t>
      </w:r>
      <w:bookmarkEnd w:id="3"/>
    </w:p>
    <w:p w:rsidR="00A16BA8" w:rsidRPr="00EF269A" w:rsidRDefault="00A16BA8" w:rsidP="00A16BA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Наиб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реализ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вать измерительные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 Флю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рат</w:t>
      </w:r>
      <w:r w:rsidRPr="00EF269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–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02</w:t>
      </w:r>
      <w:r w:rsidRPr="00EF269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–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рама и 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рных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мплекс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на 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вании внешнег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мпьютера с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вленным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граммным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беспечением «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Pan</w:t>
      </w:r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ramaPr</w:t>
      </w:r>
      <w:proofErr w:type="spellEnd"/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предназначен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для управления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спектр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риметр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ведении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графических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спектр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спектр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риметрических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хеми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люминесцентных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измерений, а также при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пределении спектральных характеристик внешних ист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излучения. </w:t>
      </w:r>
    </w:p>
    <w:p w:rsidR="00A16BA8" w:rsidRPr="00EF269A" w:rsidRDefault="00A16BA8" w:rsidP="00A16BA8">
      <w:pPr>
        <w:shd w:val="clear" w:color="auto" w:fill="FFFFFF"/>
        <w:spacing w:after="0" w:line="360" w:lineRule="auto"/>
        <w:ind w:left="20" w:right="80" w:firstLine="54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 спектр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риметре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рат–02–Пан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рама реализуется импульсный мет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 измерения кинетики люминесценции.  В эт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м мет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де люминесценция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збуждается пери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дически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ряемым импульс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м света. При эт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м исп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льзуется импульсный ист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чник света с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чн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крутым задним фр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м свет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импульса и система регистрации с мал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й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янн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й времени.  Эт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т мет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зв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ляет изучить кинетику люминесценции при люб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м характере затухания люминесценции.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Спектр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риметр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рат–02–Пан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рама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зв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ляет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вести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вания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задержке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длительн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сти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измерительн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стр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ба.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Принцип 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заключается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первичная регистрирующая система включается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дически на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время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збуждающег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импульса. Задержка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степенн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увеличивается и таким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существляется сканир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вание 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сигнала. Иными 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вами, сигнал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ступает с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система регистрирует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кажд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импульса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значению амплитуды с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+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44"/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лучается сигнал,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тветствующий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ступающему,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растянутый в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sym w:font="Symbol" w:char="F044"/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T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раз.</w:t>
      </w:r>
    </w:p>
    <w:p w:rsidR="00A16BA8" w:rsidRPr="00EF269A" w:rsidRDefault="00A16BA8" w:rsidP="00A16BA8">
      <w:pPr>
        <w:shd w:val="clear" w:color="auto" w:fill="FFFFFF"/>
        <w:spacing w:after="0" w:line="360" w:lineRule="auto"/>
        <w:ind w:left="20" w:right="80" w:firstLine="54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 случае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вания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задержке измеряется неп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средственн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зависим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сть интенсивн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т времени, а в случае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вания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длительн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сти– интеграл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т нее. </w:t>
      </w:r>
    </w:p>
    <w:p w:rsidR="00A16BA8" w:rsidRDefault="00A16BA8" w:rsidP="00A16BA8">
      <w:pPr>
        <w:shd w:val="clear" w:color="auto" w:fill="FFFFFF"/>
        <w:spacing w:after="0" w:line="360" w:lineRule="auto"/>
        <w:ind w:left="20" w:right="80" w:firstLine="54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При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вании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задержке 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бх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задать диапаз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н (п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ля 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т»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eastAsia="en-US"/>
        </w:rPr>
        <w:t>«Д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eastAsia="en-US"/>
        </w:rPr>
        <w:t>»)</w:t>
      </w:r>
      <w:r w:rsidRPr="00EF269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eastAsia="en-US"/>
        </w:rPr>
        <w:t>«Шаг»</w:t>
      </w:r>
      <w:r w:rsidRPr="00EF269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 xml:space="preserve"> изменения задержки, а также п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>янную величину длительн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en-US"/>
        </w:rPr>
        <w:t xml:space="preserve">сти.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При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вании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длительн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сти 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бх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задать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янную величину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lastRenderedPageBreak/>
        <w:t>задержки и диапаз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н (п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т»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«Д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»)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>«Шаг»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изменения длительн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сти. Параметр усреднения имеет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т же смысл, чт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и для спектральных измерений.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5905500" cy="3714750"/>
            <wp:effectExtent l="19050" t="0" r="0" b="0"/>
            <wp:docPr id="11" name="Рисунок 5" descr="D:\Дипломы\Диплом Игорь\Измерения\Обр\ок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ипломы\Диплом Игорь\Измерения\Обр\окно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12" cy="37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A8" w:rsidRPr="00913FEE" w:rsidRDefault="00A16BA8" w:rsidP="00A16BA8">
      <w:pPr>
        <w:spacing w:after="36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Рис.2.4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. Раб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чее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кн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пр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граммы «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Pan</w:t>
      </w:r>
      <w:r w:rsidRPr="00953EDD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  <w:lang w:val="en-US"/>
        </w:rPr>
        <w:t>ramaPr</w:t>
      </w:r>
      <w:r w:rsidRPr="00953EDD">
        <w:rPr>
          <w:rFonts w:ascii="Times New Roman" w:eastAsia="Calibri" w:hAnsi="Times New Roman" w:cs="Times New Roman"/>
          <w:i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»в режиме кинетики люминесценции</w:t>
      </w:r>
    </w:p>
    <w:p w:rsidR="00A16BA8" w:rsidRPr="004403D6" w:rsidRDefault="00A16BA8" w:rsidP="00A16BA8">
      <w:pPr>
        <w:shd w:val="clear" w:color="auto" w:fill="FFFFFF"/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грамма кинетических измерений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зв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ляет в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цессе сканир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вания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параметрам стр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ба изменять следующие параметры измерения: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усреднение п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 xml:space="preserve"> т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чкам;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диапаз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н исслед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вания в мкс;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сть в мкс;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чувствительн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сть ФЭУ;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длину в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лны в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збуждения в нм;</w:t>
      </w:r>
    </w:p>
    <w:p w:rsidR="00A16BA8" w:rsidRPr="00EF269A" w:rsidRDefault="00A16BA8" w:rsidP="00A16BA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длину в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n-US"/>
        </w:rPr>
        <w:t>лны регистрации в нм;</w:t>
      </w:r>
    </w:p>
    <w:p w:rsidR="00A16BA8" w:rsidRPr="00EF269A" w:rsidRDefault="00A16BA8" w:rsidP="00A16BA8">
      <w:pPr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360" w:lineRule="auto"/>
        <w:ind w:left="0" w:right="-2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тип сканир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задержке или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длительн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[9].</w:t>
      </w:r>
    </w:p>
    <w:p w:rsidR="00A16BA8" w:rsidRPr="00EF269A" w:rsidRDefault="00A16BA8" w:rsidP="00A16BA8">
      <w:pPr>
        <w:shd w:val="clear" w:color="auto" w:fill="FFFFFF"/>
        <w:tabs>
          <w:tab w:val="left" w:pos="851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Вид раб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чег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кна 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граммы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Pan</w:t>
      </w:r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ramaPr</w:t>
      </w:r>
      <w:proofErr w:type="spellEnd"/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представлен на рис.2.4.</w:t>
      </w:r>
    </w:p>
    <w:p w:rsidR="00A16BA8" w:rsidRPr="00EF269A" w:rsidRDefault="00A16BA8" w:rsidP="00A16BA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Математическая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тка результат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измерений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существляется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программным обеспечением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«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Pan</w:t>
      </w:r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en-US"/>
        </w:rPr>
        <w:t>ramaPr</w:t>
      </w:r>
      <w:proofErr w:type="spellEnd"/>
      <w:r w:rsidRPr="00953ED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»,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ставляем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пектр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риметр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Флю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рат–02–Пан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рама.</w:t>
      </w:r>
    </w:p>
    <w:p w:rsidR="00A16BA8" w:rsidRPr="00EF269A" w:rsidRDefault="00A16BA8" w:rsidP="00A16BA8">
      <w:pPr>
        <w:suppressAutoHyphens/>
        <w:spacing w:before="36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Изменение св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йств тканей би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гическ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ждения при изменении их влажн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Для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выявления зак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стей изменения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 тканей би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ждения,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двергнутых физическим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здействиям (в первую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чередь – тепл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вым), а также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живанию были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ведены эксперименты над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рнем 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пуха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быкн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являющимся перспективным вид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сырья шир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диапаз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исп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Для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ведения эксперимент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был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100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рня 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пуха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Arctium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lappa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кубическ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рмы с длин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ребра 10 мм. Все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вленные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двергались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нвективн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-радиаци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сушке при температуре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60 °С. 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Для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пределения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стных параметр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при сжатии и сдвиге партии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различн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испытывались на 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 «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Структур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метр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СТ–1». Испытания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дились при квазистатическ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м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нагружении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сжатием и сдвиг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 различными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стями.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бразцы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рня 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пуха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двергались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рмации и разрушению как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н, так 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перек при различных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стях перемещения 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лика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V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=0,33∙10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 м/с,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V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=0,83∙10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 м/с,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V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=1,17∙10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 м/с и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V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=1,67∙10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-3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 м/с; разрушение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дили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стижения заданн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значения предельн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усилия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нагружения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F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=60H.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значение был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ведении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бных эксперимент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является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чным для разрушения люб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 данн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типа.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цессе сжатия и сдвига исследуемых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в устр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йстве при кажд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шаге измерений регистрир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вались следующие экспериментальные данные: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N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числ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измерений (к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личеств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перемещений 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лика);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F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усилие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нагружения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Н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; 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t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время, с; 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h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рмация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 (значение перемещения 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лика), мм. При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щи,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на перс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мпьютере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граммы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лученные данные считывались с приб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 и записывались в текст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вые файлы для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тра. Инф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рмация была представлена в виде таблиц усилий.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держим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таблиц иллюстрируется графиками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F=f</w:t>
      </w:r>
      <w:proofErr w:type="spellEnd"/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(N).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Были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лучены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предельных напряжений разрушения и сдвига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Предельн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напряжение разрушения σ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пр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МПа, и предельн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напряжение сдвига τ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пр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МПа, вычислялись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рмуле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:</w:t>
      </w:r>
    </w:p>
    <w:p w:rsidR="00A16BA8" w:rsidRPr="00EF269A" w:rsidRDefault="00A16BA8" w:rsidP="00A16BA8">
      <w:pPr>
        <w:spacing w:before="120" w:after="24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Times New Roman" w:cs="Times New Roman"/>
                <w:i/>
                <w:color w:val="00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Times New Roman" w:cs="Times New Roman"/>
                <w:color w:val="000000"/>
                <w:sz w:val="28"/>
                <w:szCs w:val="28"/>
                <w:lang w:eastAsia="en-US"/>
              </w:rPr>
              <m:t xml:space="preserve">                                      </m:t>
            </m:r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пр</m:t>
            </m:r>
          </m:sub>
        </m:sSub>
        <m:r>
          <w:rPr>
            <w:rFonts w:ascii="Cambria Math" w:eastAsia="Calibri" w:hAnsi="Times New Roman" w:cs="Times New Roman"/>
            <w:color w:val="000000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 w:cs="Times New Roman"/>
                <w:i/>
                <w:color w:val="000000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F</m:t>
            </m:r>
          </m:num>
          <m:den>
            <m:sSub>
              <m:sSub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/>
                    <w:sz w:val="28"/>
                    <w:szCs w:val="28"/>
                    <w:lang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sz w:val="28"/>
                    <w:szCs w:val="28"/>
                    <w:lang w:eastAsia="en-US"/>
                  </w:rPr>
                  <m:t>n</m:t>
                </m:r>
              </m:sub>
            </m:sSub>
            <m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m:t>∙</m:t>
            </m:r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k</m:t>
            </m:r>
          </m:den>
        </m:f>
        <m:r>
          <w:rPr>
            <w:rFonts w:ascii="Cambria Math" w:eastAsia="Calibri" w:hAnsi="Times New Roman" w:cs="Times New Roman"/>
            <w:color w:val="000000"/>
            <w:sz w:val="28"/>
            <w:szCs w:val="28"/>
            <w:lang w:eastAsia="en-US"/>
          </w:rPr>
          <m:t>;</m:t>
        </m:r>
        <m:sSub>
          <m:sSubPr>
            <m:ctrlPr>
              <w:rPr>
                <w:rFonts w:ascii="Cambria Math" w:eastAsia="Calibri" w:hAnsi="Times New Roman" w:cs="Times New Roman"/>
                <w:i/>
                <w:color w:val="00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τ</m:t>
            </m:r>
          </m:e>
          <m:sub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пр</m:t>
            </m:r>
          </m:sub>
        </m:sSub>
        <m:r>
          <w:rPr>
            <w:rFonts w:ascii="Cambria Math" w:eastAsia="Calibri" w:hAnsi="Times New Roman" w:cs="Times New Roman"/>
            <w:color w:val="000000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Times New Roman" w:cs="Times New Roman"/>
                <w:i/>
                <w:color w:val="000000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F</m:t>
            </m:r>
          </m:num>
          <m:den>
            <m:sSub>
              <m:sSub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/>
                    <w:sz w:val="28"/>
                    <w:szCs w:val="28"/>
                    <w:lang w:eastAsia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/>
                    <w:sz w:val="28"/>
                    <w:szCs w:val="28"/>
                    <w:lang w:eastAsia="en-US"/>
                  </w:rPr>
                  <m:t>пд</m:t>
                </m:r>
              </m:sub>
            </m:sSub>
            <m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m:t>∙</m:t>
            </m:r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  <w:lang w:eastAsia="en-US"/>
              </w:rPr>
              <m:t>k</m:t>
            </m:r>
          </m:den>
        </m:f>
        <m:r>
          <w:rPr>
            <w:rFonts w:ascii="Cambria Math" w:eastAsia="Calibri" w:hAnsi="Times New Roman" w:cs="Times New Roman"/>
            <w:color w:val="000000"/>
            <w:sz w:val="28"/>
            <w:szCs w:val="28"/>
            <w:lang w:eastAsia="en-US"/>
          </w:rPr>
          <m:t xml:space="preserve">,                                           </m:t>
        </m:r>
      </m:oMath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(2.12)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где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F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экспериментальн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 усилие, </w:t>
      </w:r>
      <w:r w:rsidRPr="00EF269A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Н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;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п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 – пл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щадь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сечения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бразца,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направлению нагрузке, м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;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S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en-US"/>
        </w:rPr>
        <w:t>пл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 – пл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щадь сечения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 в направлении сдвиг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нагрузки, м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;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k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эффициент усушки.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рис. 2.5 – 2.8 представлены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предельных напряжений разрушения при сжатии и сдвиге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рня 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пуха при их различн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200400" cy="1619250"/>
            <wp:effectExtent l="19050" t="0" r="0" b="0"/>
            <wp:docPr id="552" name="Рисунок 555" descr="rud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rud2.tif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 2.5</w:t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Зависим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 предельных напряжений разрушения s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vertAlign w:val="subscript"/>
        </w:rPr>
        <w:t>пр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влажн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сти W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бразц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рня л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пуха при сжатии п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перек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си</w:t>
      </w:r>
    </w:p>
    <w:p w:rsidR="00A16BA8" w:rsidRPr="00EF269A" w:rsidRDefault="00A16BA8" w:rsidP="00A16BA8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095625" cy="1543050"/>
            <wp:effectExtent l="19050" t="0" r="9525" b="0"/>
            <wp:docPr id="553" name="Рисунок 556" descr="rud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rud3.tif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 2.6</w:t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Зависим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 предельных напряжений разрушения s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vertAlign w:val="subscript"/>
        </w:rPr>
        <w:t>пр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влажн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сти W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бразц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рня л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пуха при сжатии вд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ль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си</w:t>
      </w:r>
    </w:p>
    <w:p w:rsidR="00A16BA8" w:rsidRDefault="00A16BA8" w:rsidP="00A16BA8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</w:p>
    <w:p w:rsidR="00A16BA8" w:rsidRPr="00EF269A" w:rsidRDefault="00A16BA8" w:rsidP="00A16BA8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3429000" cy="1752600"/>
            <wp:effectExtent l="19050" t="0" r="0" b="0"/>
            <wp:docPr id="554" name="Рисунок 557" descr="rud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rud4.tif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EF269A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 2.7</w:t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Зависим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 предельных напряжений сдвига t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vertAlign w:val="subscript"/>
        </w:rPr>
        <w:t>пр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влажн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сти W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бразц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рня л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пуха при сдвиге вд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ль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си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3305175" cy="1670848"/>
            <wp:effectExtent l="0" t="0" r="0" b="0"/>
            <wp:docPr id="555" name="Рисунок 558" descr="rud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rud5.tif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14" cy="16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EF269A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 2.8</w:t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.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Зависим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 предельных напряжений сдвига t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  <w:vertAlign w:val="subscript"/>
        </w:rPr>
        <w:t>пр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 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влажн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сти W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бразц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рня л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пуха при сдвиге п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перек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си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Анализ график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казывает наличие характерных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чек и участк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дная (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нативная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ставила 62 %.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нижение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56 % привел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 минимальн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 сжатии и сдвиге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 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вышению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максимальн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при сжатии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рня при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нагружения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100 мм/мин.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чевидн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ведение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связан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исчезн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вением тург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ра, внутреннег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давления в клетках,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к снижению упруг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ткани, а 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нижению внутренней энергии вещества. Увеличение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 так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на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вания, видим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связан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исчезн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вением релаксаци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цесс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напряжения не успевают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равн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страниться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бъёме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бразца.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материала, близкую к 44 %,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назвать перв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критическ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й.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резк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изменение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сушки, практически заканчивается уменьшение размер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(усушка), а на кривых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наблюдаются экстремумы, либ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же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зрастающая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сть. Нес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мненн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заканчивается удаление физически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связанн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влаги из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преимущественн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 межклет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странств [10].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 квазистатическ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сжатии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си, а также при сдвиге как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ль, так 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перек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 при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44 %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стигает максимума. Удаление влаги прив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к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ванию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действия между 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чными структурами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ткани, несм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тря на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тсутствие активн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ды, внутренняя энергия вещества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высилась, связанная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физик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химически с макр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лекулами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вышает не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межклет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чную,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меж структурную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Дальнейшее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живание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прив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 к стабильн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снижению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минимальн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при равн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весн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сти, и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сжатии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перек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 наблюдается 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жения нагрузки. Прир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при минимальн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сти,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рее всег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перестает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сить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нный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характер 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пределяется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стью целлюл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каркаса при растяжении, в частн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–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перечными связями между макр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лекулами би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лимер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Следует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тдельн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рассм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треть влияние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на их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сть. В нашем случае испытания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ведены при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стях 10 и 100 мм/мин. При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гда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бразцы сжимались вд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ль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 и при сдвиге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перек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си, десятикратн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увеличение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привел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чем двукратн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вышению предела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сти. При влажн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ости 56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% разн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стей при различных 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стях увеличилась независим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вида испытаний.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сле удаления активн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разница в деф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ведении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значительн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снизилась,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 сдвиге.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Интересным представляется сравнение динамики изменения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стных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 жив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ой ткани, например,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й. Структурн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 функци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единицей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ткани является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 –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система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нцентрических цилиндрических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стных пластин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к, вставленных друг в друга.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ны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риентир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ваны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направлению действия наиб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льших нагруз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к, между ними расп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лагаются встав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чные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стные пластинки.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данным А.А.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ва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(МТИММП, кафедра техн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руд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мяс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мбинат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в), на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стные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йства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значительн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влияет термическ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здействие. График зависим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ударн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вязк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лжительн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термическ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 представлен на рис. 2.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</w:t>
      </w:r>
    </w:p>
    <w:p w:rsidR="00A16BA8" w:rsidRPr="00EF269A" w:rsidRDefault="00A16BA8" w:rsidP="00A16BA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2295525" cy="1866900"/>
            <wp:effectExtent l="19050" t="0" r="9525" b="0"/>
            <wp:docPr id="556" name="Рисунок 559" descr="rud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rud6.tif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Pr="00EF269A" w:rsidRDefault="00A16BA8" w:rsidP="00A16BA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8"/>
        </w:rPr>
      </w:pPr>
      <w:r w:rsidRPr="00EF269A">
        <w:rPr>
          <w:rFonts w:ascii="Times New Roman" w:eastAsia="Calibri" w:hAnsi="Times New Roman" w:cs="Times New Roman"/>
          <w:b/>
          <w:noProof/>
          <w:color w:val="000000"/>
          <w:sz w:val="24"/>
          <w:szCs w:val="28"/>
        </w:rPr>
        <w:t>Рис. 2.9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Зависим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 ударн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й вязк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сти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й ткани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 пр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д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лжительн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сти термическ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й 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браб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тки (п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 xml:space="preserve"> результатам А.А. С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л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ва): I – г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вяжья реберная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сть, II – свиная реберная к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о</w:t>
      </w:r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t>сть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Как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бъяснить резк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снижение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в результате термическ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тки? Если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дить к эт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му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су с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зиции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би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гических тканей [10],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картина 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вится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ясн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й. Белки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ссеин 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ллаген выступают 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связующим межклет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чным веществ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м.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лекулы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активн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участвуют в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верхн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действии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белка друг с друг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и с другими веществами. Терм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вышает внутреннюю энергию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ткани, в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числе энергию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следние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ждаются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внешних связей и вых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дят в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яние.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бщая активн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ды увеличивается,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нная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резк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снижается. Дальнейшая терм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тка, как видн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 график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практически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сстанавливает 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дную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ткани.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меняет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став и структуру. Белки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дверглись денатурации,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лекулы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ды, нах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дившиеся в связанн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 белками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янии,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дились и вышли в раств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р, влага внутри ткани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хранилась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льк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химически и частичн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физик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-химически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связанн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виде.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зрастание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в так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янии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бъяснить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ванием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мпактн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рмы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белка,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зданием неп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средственн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межм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лекулярн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нтакта между ними и другими веществами. В так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янии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 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вится 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хрупк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й, так как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практически исчезает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микр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движн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сть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между минеральными пластинками, межклет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веществ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вится «б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лее жёстким».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результате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веденных исслед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ваний и их анализа устан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сырья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пределяется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нным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верхн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стным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действием 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макр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структур и «кирпичик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в» (частичн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безв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женных растительных 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к).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верхн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стные белки 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чных мембран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действуют с белками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седней мембраны как неп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средственн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так и с участием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ды и веществ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 межклетник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в,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держащим белки либ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пектины.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бъекты перераб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тки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ждения чаще всег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нативн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янии представляют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й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агуляци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дисперсные системы, влага 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рых нах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дится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всех ф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рмах связи с макр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лекулами би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лимер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в. Высушивание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здает усл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вия для перех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да структур из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агуляци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нных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гда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верхн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 взаим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действие микр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структур, в частн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сти – растительных клет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существляется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адгези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(дисперсная фаза – дисперси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нная среда), 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нденсаци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-кристаллизаци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нные.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чку перех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ткани из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яния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агуляци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структуры в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нденсаци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-кристаллизаци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нную 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считать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птимальн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для разрушения материал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 растительн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исх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ждения.</w:t>
      </w: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F269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Выв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ды: 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люминесценция  – излучение, представляющее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й избыт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 над </w:t>
      </w:r>
      <w:hyperlink r:id="rId89" w:tgtFrame="_blank" w:history="1">
        <w:r w:rsidRPr="00EF269A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тепл</w:t>
        </w:r>
        <w:r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о</w:t>
        </w:r>
        <w:r w:rsidRPr="00EF269A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вым излучением</w:t>
        </w:r>
      </w:hyperlink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 тела и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лжающееся в течение времени, значительн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превышающег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 свет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вых 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лебаний, чт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тличает её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различных вид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рассеяния,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тражения, параметрические пре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браз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вания света, 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Черенк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ва-Вавил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 излучений.</w:t>
      </w:r>
    </w:p>
    <w:p w:rsidR="00A16BA8" w:rsidRPr="00EF269A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Наиб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лее прямым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м исслед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первичных стадий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 реакций является изучение кинетики люминесценции (зак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и затухания люминесценции). Измеряя кинетику люминесценции, мы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лучаем неп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сть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нцентрации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збужденных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лекул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т времени.</w:t>
      </w:r>
    </w:p>
    <w:p w:rsidR="00A16BA8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м для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збуждения люминесценции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льзуют либ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ткие </w:t>
      </w:r>
    </w:p>
    <w:p w:rsidR="00A16BA8" w:rsidRPr="00EF269A" w:rsidRDefault="00A16BA8" w:rsidP="00A16BA8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импульсы света, либ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ванный свет. 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секундные и пик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секундные 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чники света и выс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чувствительные сверхбыстрые системы регистрации 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 исключительные с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чки зрения химическ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й кинетики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сти для исслед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механизм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быстрых химических реакций. Таким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м, для изучения кинетики люминесценции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льзуют импульсные и фаз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дуляци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</w:p>
    <w:p w:rsidR="00A16BA8" w:rsidRPr="00EF269A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Импульсные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ляют изучать кинетику при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м характере затухания люминесценции. В фаз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дуляци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м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де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заранее 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лагать вид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затухания люминесценции, и экспериментальн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пределяют лишь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личественные значения параметр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в.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верка правильн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требует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 w:rsidRPr="00EF269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16BA8" w:rsidRPr="006B489B" w:rsidRDefault="00A16BA8" w:rsidP="00A16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89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ИССЛЕДОВАНИЕ ВРЕМЕННОЙ ДИНАМИКИ СПЕКТРАЛЬНЫХ ХАРАКТЕРИСТИК ЛЮМИНЕСЦЕНЦИИ ПРИ ИЗМЕНЕНИИ СТЕПЕНИ ГИДРАЦИИ</w:t>
      </w:r>
    </w:p>
    <w:p w:rsidR="00A16BA8" w:rsidRPr="006B489B" w:rsidRDefault="00A16BA8" w:rsidP="00A16BA8">
      <w:pPr>
        <w:pStyle w:val="af8"/>
        <w:spacing w:before="360" w:after="240"/>
        <w:ind w:firstLine="0"/>
        <w:outlineLvl w:val="1"/>
        <w:rPr>
          <w:szCs w:val="28"/>
        </w:rPr>
      </w:pPr>
      <w:r w:rsidRPr="006B489B">
        <w:rPr>
          <w:szCs w:val="28"/>
        </w:rPr>
        <w:t>3.1. Методика измерений</w:t>
      </w:r>
    </w:p>
    <w:p w:rsidR="00A16BA8" w:rsidRDefault="00A16BA8" w:rsidP="00A16BA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sz w:val="28"/>
          <w:szCs w:val="28"/>
        </w:rPr>
        <w:tab/>
        <w:t>Для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9B">
        <w:rPr>
          <w:rFonts w:ascii="Times New Roman" w:eastAsia="Times New Roman" w:hAnsi="Times New Roman" w:cs="Times New Roman"/>
          <w:sz w:val="28"/>
          <w:szCs w:val="28"/>
        </w:rPr>
        <w:t>спектров возбуждения и люминесценции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9B">
        <w:rPr>
          <w:rFonts w:ascii="Times New Roman" w:eastAsia="Times New Roman" w:hAnsi="Times New Roman" w:cs="Times New Roman"/>
          <w:sz w:val="28"/>
          <w:szCs w:val="28"/>
        </w:rPr>
        <w:t>использовали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спектрфлуориметр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89B">
        <w:rPr>
          <w:rFonts w:ascii="Times New Roman" w:eastAsia="Times New Roman" w:hAnsi="Times New Roman" w:cs="Times New Roman"/>
          <w:sz w:val="28"/>
          <w:szCs w:val="28"/>
        </w:rPr>
        <w:t>Флюорат-02-Панорама с установленным программным обеспечением «</w:t>
      </w:r>
      <w:r w:rsidRPr="006B489B">
        <w:rPr>
          <w:rFonts w:ascii="Times New Roman" w:eastAsia="Times New Roman" w:hAnsi="Times New Roman" w:cs="Times New Roman"/>
          <w:sz w:val="28"/>
          <w:szCs w:val="28"/>
          <w:lang w:val="en-US"/>
        </w:rPr>
        <w:t>PanoramaPro</w:t>
      </w:r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». Оно предназначено для управления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спектрофлуориметром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 при проведении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хроматографических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спектрофото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спектрофлуориметрических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хеми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биолюминесцентных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 измерений, а также при определении спектральных характеристик внешних источников излучения.</w:t>
      </w:r>
    </w:p>
    <w:p w:rsidR="00A16BA8" w:rsidRDefault="00A16BA8" w:rsidP="00A16BA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sz w:val="28"/>
          <w:szCs w:val="28"/>
        </w:rPr>
        <w:t xml:space="preserve">Математическая обработка результатов измерений осуществляется средствами поставляемого программного обеспечения или иными программными продуктами, для чего предусмотрен экспорт результатов измерения в форматы ASCII и MS </w:t>
      </w:r>
      <w:proofErr w:type="spellStart"/>
      <w:r w:rsidRPr="006B489B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6B48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6BA8" w:rsidRPr="00A11755" w:rsidRDefault="00A16BA8" w:rsidP="00A16BA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Для проведения спектральных измерений необходимо выбрать пункт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Спектральные» 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в меню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Измерения» в окне программы. Рабочее поле в этом случае примет вид, показанный на рис. 3.1.</w:t>
      </w:r>
    </w:p>
    <w:p w:rsidR="00A16BA8" w:rsidRPr="006B489B" w:rsidRDefault="00A16BA8" w:rsidP="00A16B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89B">
        <w:rPr>
          <w:rFonts w:ascii="Times New Roman" w:hAnsi="Times New Roman" w:cs="Times New Roman"/>
          <w:bCs/>
          <w:sz w:val="28"/>
          <w:szCs w:val="28"/>
        </w:rPr>
        <w:t>На вкладке «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>Измерение»</w:t>
      </w:r>
      <w:r w:rsidRPr="006B489B">
        <w:rPr>
          <w:rFonts w:ascii="Times New Roman" w:hAnsi="Times New Roman" w:cs="Times New Roman"/>
          <w:bCs/>
          <w:sz w:val="28"/>
          <w:szCs w:val="28"/>
        </w:rPr>
        <w:t xml:space="preserve"> можно выбрать:</w:t>
      </w:r>
    </w:p>
    <w:p w:rsidR="00A16BA8" w:rsidRPr="006B489B" w:rsidRDefault="00A16BA8" w:rsidP="00A16BA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sz w:val="28"/>
          <w:szCs w:val="28"/>
        </w:rPr>
        <w:t>Тип сканирования (по возбуждению, регистрации, синхронное, с переменным углом);</w:t>
      </w:r>
    </w:p>
    <w:p w:rsidR="00A16BA8" w:rsidRPr="006B489B" w:rsidRDefault="00A16BA8" w:rsidP="00A16BA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sz w:val="28"/>
          <w:szCs w:val="28"/>
        </w:rPr>
        <w:t>Параметры сканирования в соответствии с выбранным типом;</w:t>
      </w:r>
    </w:p>
    <w:p w:rsidR="00A16BA8" w:rsidRPr="00776E2A" w:rsidRDefault="00A16BA8" w:rsidP="00A16BA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E2A">
        <w:rPr>
          <w:rFonts w:ascii="Times New Roman" w:hAnsi="Times New Roman" w:cs="Times New Roman"/>
          <w:bCs/>
          <w:sz w:val="28"/>
          <w:szCs w:val="28"/>
        </w:rPr>
        <w:lastRenderedPageBreak/>
        <w:t>Режим математической коррекции;</w:t>
      </w:r>
    </w:p>
    <w:p w:rsidR="00A16BA8" w:rsidRDefault="00A16BA8" w:rsidP="00A16B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1755">
        <w:rPr>
          <w:rFonts w:ascii="Times New Roman" w:eastAsia="SymbolMT" w:hAnsi="Times New Roman" w:cs="Times New Roman"/>
          <w:sz w:val="28"/>
          <w:szCs w:val="28"/>
        </w:rPr>
        <w:t xml:space="preserve">Возможны следующие типы сканирования: по возбуждению, по регистрации, синхронное и с переменным углом. </w:t>
      </w:r>
      <w:r w:rsidRPr="00A11755">
        <w:rPr>
          <w:rFonts w:ascii="Times New Roman" w:eastAsia="Times New Roman" w:hAnsi="Times New Roman" w:cs="Times New Roman"/>
          <w:bCs/>
          <w:sz w:val="28"/>
          <w:szCs w:val="28"/>
        </w:rPr>
        <w:t>При сканировании по возбуждению необходимо для монохроматора возбуждения задать спектральный диапазон (поля «</w:t>
      </w:r>
      <w:r w:rsidRPr="00A11755">
        <w:rPr>
          <w:rFonts w:ascii="Times New Roman" w:eastAsia="Times New Roman" w:hAnsi="Times New Roman" w:cs="Times New Roman"/>
          <w:bCs/>
          <w:iCs/>
          <w:sz w:val="28"/>
          <w:szCs w:val="28"/>
        </w:rPr>
        <w:t>От»</w:t>
      </w:r>
      <w:r w:rsidRPr="00A1175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«</w:t>
      </w:r>
      <w:r w:rsidRPr="00A11755">
        <w:rPr>
          <w:rFonts w:ascii="Times New Roman" w:eastAsia="Times New Roman" w:hAnsi="Times New Roman" w:cs="Times New Roman"/>
          <w:bCs/>
          <w:iCs/>
          <w:sz w:val="28"/>
          <w:szCs w:val="28"/>
        </w:rPr>
        <w:t>До»</w:t>
      </w:r>
      <w:r w:rsidRPr="00A11755">
        <w:rPr>
          <w:rFonts w:ascii="Times New Roman" w:eastAsia="Times New Roman" w:hAnsi="Times New Roman" w:cs="Times New Roman"/>
          <w:bCs/>
          <w:sz w:val="28"/>
          <w:szCs w:val="28"/>
        </w:rPr>
        <w:t>) и «</w:t>
      </w:r>
      <w:r w:rsidRPr="00A11755">
        <w:rPr>
          <w:rFonts w:ascii="Times New Roman" w:eastAsia="Times New Roman" w:hAnsi="Times New Roman" w:cs="Times New Roman"/>
          <w:bCs/>
          <w:iCs/>
          <w:sz w:val="28"/>
          <w:szCs w:val="28"/>
        </w:rPr>
        <w:t>Шаг»</w:t>
      </w:r>
      <w:r w:rsidRPr="00A11755">
        <w:rPr>
          <w:rFonts w:ascii="Times New Roman" w:eastAsia="Times New Roman" w:hAnsi="Times New Roman" w:cs="Times New Roman"/>
          <w:bCs/>
          <w:sz w:val="28"/>
          <w:szCs w:val="28"/>
        </w:rPr>
        <w:t xml:space="preserve">, а для монохроматора </w:t>
      </w:r>
    </w:p>
    <w:p w:rsidR="00A16BA8" w:rsidRDefault="00A16BA8" w:rsidP="00A16B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1755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регистрации - постоянную 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длину волны.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16BA8" w:rsidRDefault="00A16BA8" w:rsidP="00A16B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A16BA8" w:rsidRDefault="00A16BA8" w:rsidP="00A16B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При сканировании по регистрации необходимо для монохроматора возбуждения задать постоянную длину волны, а для монохроматора регистрации - спектральный диапазон (поля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От»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До»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) 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Шаг».</w:t>
      </w:r>
    </w:p>
    <w:p w:rsidR="00A16BA8" w:rsidRPr="006B489B" w:rsidRDefault="00A16BA8" w:rsidP="00A16B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При синхронном сканировании одновременно изменяется и длина волны возбуждения, и длина волны регистрации. При этом поддерживается постоянное смещение монохроматора регистрации относительно настройки монохроматора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возбуждения.</w:t>
      </w:r>
    </w:p>
    <w:p w:rsidR="00A16BA8" w:rsidRPr="006B489B" w:rsidRDefault="00A16BA8" w:rsidP="00A16B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Величина этого смещения может задаваться либо в нанометрах, либо в обратных сантиметрах. Параметрами сканирования являются спектральный диапазон (поля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От»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До»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) 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Шаг»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монохроматора возбуждения, а также величина и единицы 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смещения 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для монохроматора регистрации.</w:t>
      </w:r>
    </w:p>
    <w:p w:rsidR="00A16BA8" w:rsidRPr="006B489B" w:rsidRDefault="00A16BA8" w:rsidP="00A16B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489B">
        <w:rPr>
          <w:rFonts w:cs="Times New Roman"/>
          <w:b/>
          <w:noProof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948690</wp:posOffset>
            </wp:positionV>
            <wp:extent cx="4781550" cy="3762375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При сканировании с «переменным углом» также одновременно изменяется и длина волны возбуждения, и длина волны регистрации. Отличие состоит в том, что шаг перестройки монохроматора регистрации может быть не равным шагу перестройки монохроматора возбуждения.</w:t>
      </w:r>
    </w:p>
    <w:p w:rsidR="00A16BA8" w:rsidRPr="006B489B" w:rsidRDefault="00A16BA8" w:rsidP="00A16BA8">
      <w:pPr>
        <w:pStyle w:val="2"/>
        <w:jc w:val="both"/>
      </w:pPr>
    </w:p>
    <w:p w:rsidR="00A16BA8" w:rsidRPr="006B489B" w:rsidRDefault="00A16BA8" w:rsidP="00A16BA8">
      <w:pPr>
        <w:pStyle w:val="2"/>
        <w:spacing w:before="0" w:after="0"/>
        <w:rPr>
          <w:b w:val="0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6BA8" w:rsidRDefault="00A16BA8" w:rsidP="00A16BA8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6BA8" w:rsidRPr="006B489B" w:rsidRDefault="00A16BA8" w:rsidP="00A16BA8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07C9">
        <w:rPr>
          <w:rFonts w:ascii="Times New Roman" w:eastAsia="Times New Roman" w:hAnsi="Times New Roman" w:cs="Times New Roman"/>
          <w:b/>
          <w:bCs/>
          <w:sz w:val="24"/>
          <w:szCs w:val="24"/>
        </w:rPr>
        <w:t>Рис 3.1.</w:t>
      </w:r>
      <w:r w:rsidRPr="006B489B">
        <w:rPr>
          <w:rFonts w:ascii="Times New Roman" w:eastAsia="Times New Roman" w:hAnsi="Times New Roman" w:cs="Times New Roman"/>
          <w:bCs/>
          <w:sz w:val="24"/>
          <w:szCs w:val="24"/>
        </w:rPr>
        <w:t xml:space="preserve"> Окно программы </w:t>
      </w:r>
      <w:r w:rsidRPr="006B489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PanoramaPro</w:t>
      </w:r>
      <w:r w:rsidRPr="006B489B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спектральные измерения</w:t>
      </w:r>
    </w:p>
    <w:p w:rsidR="00A16BA8" w:rsidRPr="006B489B" w:rsidRDefault="00A16BA8" w:rsidP="00A16B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Параметрами являются спектральный диапазон (поля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От»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До»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) 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Шаг»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для монохроматора возбуждения и спектральный диапазон (поля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От»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и «</w:t>
      </w:r>
      <w:r w:rsidRPr="006B489B">
        <w:rPr>
          <w:rFonts w:ascii="Times New Roman" w:eastAsia="Times New Roman" w:hAnsi="Times New Roman" w:cs="Times New Roman"/>
          <w:bCs/>
          <w:iCs/>
          <w:sz w:val="28"/>
          <w:szCs w:val="28"/>
        </w:rPr>
        <w:t>До»)</w:t>
      </w: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монохроматора регистрации. «Шаг» монохроматора регистрации вычисляется путем деления диапазона сканирования на количество шагов монохроматора возбуждения.</w:t>
      </w:r>
    </w:p>
    <w:p w:rsidR="00A16BA8" w:rsidRPr="006B489B" w:rsidRDefault="00A16BA8" w:rsidP="00A16BA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9B">
        <w:rPr>
          <w:rFonts w:ascii="Times New Roman" w:eastAsia="Times New Roman" w:hAnsi="Times New Roman" w:cs="Times New Roman"/>
          <w:bCs/>
          <w:sz w:val="28"/>
          <w:szCs w:val="28"/>
        </w:rPr>
        <w:t>Параметр усреднения задает количество элементарных измерений (вспышек лампы), результат которых будет усредняться для вывода одной точки графика. С увеличением параметра усреднения уменьшается уровень шума, но растет полное время сканирования.</w:t>
      </w:r>
    </w:p>
    <w:p w:rsidR="00A16BA8" w:rsidRPr="006B489B" w:rsidRDefault="00A16BA8" w:rsidP="00A16B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89B">
        <w:rPr>
          <w:rFonts w:ascii="Times New Roman" w:hAnsi="Times New Roman" w:cs="Times New Roman"/>
          <w:sz w:val="28"/>
          <w:szCs w:val="28"/>
        </w:rPr>
        <w:t xml:space="preserve">Параметры прибора (чувствительность ФЭУ, задержка и длительность строба), с которыми производилось измерение, запоминаются в файле результатов. Для их просмотра предусмотрена вкладка Параметры. </w:t>
      </w:r>
    </w:p>
    <w:p w:rsidR="00A16BA8" w:rsidRPr="006B489B" w:rsidRDefault="00A16BA8" w:rsidP="00A16B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89B">
        <w:rPr>
          <w:rFonts w:ascii="Times New Roman" w:hAnsi="Times New Roman" w:cs="Times New Roman"/>
          <w:sz w:val="28"/>
          <w:szCs w:val="28"/>
        </w:rPr>
        <w:t>При необходимости повторить измерение с теми же самыми значениями параметров можно воспользоваться кнопкой «Установить».</w:t>
      </w:r>
    </w:p>
    <w:p w:rsidR="00A16BA8" w:rsidRPr="006B489B" w:rsidRDefault="00A16BA8" w:rsidP="00A16BA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489B">
        <w:rPr>
          <w:rFonts w:ascii="Times New Roman" w:hAnsi="Times New Roman" w:cs="Times New Roman"/>
          <w:bCs/>
          <w:iCs/>
          <w:sz w:val="28"/>
          <w:szCs w:val="28"/>
        </w:rPr>
        <w:t>При нажатии правой кнопки мыши в области трехмерного графика появляется контекстное меню, содержащее пункты:</w:t>
      </w:r>
    </w:p>
    <w:p w:rsidR="00A16BA8" w:rsidRPr="006B489B" w:rsidRDefault="00A16BA8" w:rsidP="00A16BA8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 xml:space="preserve">Копировать таблицу – скопировать данные в буфер обмена </w:t>
      </w:r>
      <w:r w:rsidRPr="006B48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Windows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 xml:space="preserve"> в текстовом формате.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>Эти данные можно вставить в текстовый документ или электронную таблицу.</w:t>
      </w:r>
    </w:p>
    <w:p w:rsidR="00A16BA8" w:rsidRPr="006B489B" w:rsidRDefault="00A16BA8" w:rsidP="00A16BA8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 xml:space="preserve">Копировать график – скопировать данные в буфер обмена </w:t>
      </w:r>
      <w:r w:rsidRPr="006B48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Windows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 xml:space="preserve"> в графическом формате.</w:t>
      </w:r>
    </w:p>
    <w:p w:rsidR="00A16BA8" w:rsidRPr="00A11755" w:rsidRDefault="00A16BA8" w:rsidP="00A16BA8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B489B">
        <w:rPr>
          <w:rFonts w:ascii="Times New Roman" w:hAnsi="Times New Roman" w:cs="Times New Roman"/>
          <w:bCs/>
          <w:iCs/>
          <w:sz w:val="28"/>
          <w:szCs w:val="28"/>
        </w:rPr>
        <w:t>Поиск максимума – поиск абсолютного максимума на трехмерной поверхности. Спектр, которому принадлежит максимум, показывается на двумерном графике, а на точке максимума устанавливается маркер.</w:t>
      </w:r>
    </w:p>
    <w:p w:rsidR="00A16BA8" w:rsidRDefault="00A16BA8" w:rsidP="00A16BA8">
      <w:pPr>
        <w:spacing w:before="36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Результаты измерений временной динамики спектральных характеристик люминесценции при изменении степени гидратации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исследований нам были предоставлены </w:t>
      </w:r>
      <w:r w:rsidRPr="003C007A">
        <w:rPr>
          <w:rFonts w:ascii="Times New Roman" w:eastAsia="Tahoma" w:hAnsi="Times New Roman" w:cs="Times New Roman"/>
          <w:sz w:val="28"/>
          <w:szCs w:val="28"/>
        </w:rPr>
        <w:t xml:space="preserve">костные шлифы длинной трубчатой кости нижней конечности человека </w:t>
      </w:r>
      <w:r>
        <w:rPr>
          <w:rFonts w:ascii="Times New Roman" w:eastAsia="Tahoma" w:hAnsi="Times New Roman" w:cs="Times New Roman"/>
          <w:sz w:val="28"/>
          <w:szCs w:val="28"/>
          <w:lang w:val="en-US"/>
        </w:rPr>
        <w:t>XIV</w:t>
      </w:r>
      <w:r w:rsidRPr="00BE103B">
        <w:rPr>
          <w:rFonts w:ascii="Times New Roman" w:eastAsia="Tahoma" w:hAnsi="Times New Roman" w:cs="Times New Roman"/>
          <w:sz w:val="28"/>
          <w:szCs w:val="28"/>
        </w:rPr>
        <w:t>-</w:t>
      </w:r>
      <w:r>
        <w:rPr>
          <w:rFonts w:ascii="Times New Roman" w:eastAsia="Tahoma" w:hAnsi="Times New Roman" w:cs="Times New Roman"/>
          <w:sz w:val="28"/>
          <w:szCs w:val="28"/>
          <w:lang w:val="en-US"/>
        </w:rPr>
        <w:t>XVI</w:t>
      </w:r>
      <w:r>
        <w:rPr>
          <w:rFonts w:ascii="Times New Roman" w:eastAsia="Tahoma" w:hAnsi="Times New Roman" w:cs="Times New Roman"/>
          <w:sz w:val="28"/>
          <w:szCs w:val="28"/>
        </w:rPr>
        <w:t xml:space="preserve"> веков, из лаборатории </w:t>
      </w:r>
      <w:r w:rsidRPr="003C007A">
        <w:rPr>
          <w:rFonts w:ascii="Times New Roman" w:eastAsia="Tahoma" w:hAnsi="Times New Roman" w:cs="Times New Roman"/>
          <w:sz w:val="28"/>
          <w:szCs w:val="28"/>
        </w:rPr>
        <w:t>остеологического мониторинга археологических раскопок при кафедре анатомии человека СГМУ</w:t>
      </w:r>
      <w:r>
        <w:rPr>
          <w:rFonts w:ascii="Times New Roman" w:eastAsia="Tahoma" w:hAnsi="Times New Roman" w:cs="Times New Roman"/>
          <w:sz w:val="28"/>
          <w:szCs w:val="28"/>
        </w:rPr>
        <w:t>, после этого по вышеприведенной методике были измерены спектральные характеристики возбуждения и люминесценции. Затем шлиф67</w:t>
      </w:r>
      <w:r>
        <w:rPr>
          <w:rFonts w:ascii="Times New Roman" w:eastAsia="Tahom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ahoma" w:hAnsi="Times New Roman" w:cs="Times New Roman"/>
          <w:sz w:val="28"/>
          <w:szCs w:val="28"/>
        </w:rPr>
        <w:t xml:space="preserve"> был помещен в дистиллированную воду где находился двое суток, после этого с него была снята влага и были измерены характеристики возбуждения и люминесценции. Далее кости высушивалась при комнатной температуре в тени и на 1,3,10,17 сутки были снова измерены характеристики возбуждения и люминесценции. Измерения проводились в трех точках и усредненные характеристики по трем точкам представлены на рис 3.2.</w:t>
      </w:r>
    </w:p>
    <w:p w:rsidR="00A16BA8" w:rsidRPr="00AD6B2C" w:rsidRDefault="00A16BA8" w:rsidP="00A16B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62650" cy="200025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7C9">
        <w:rPr>
          <w:rFonts w:ascii="Times New Roman" w:hAnsi="Times New Roman" w:cs="Times New Roman"/>
          <w:b/>
          <w:sz w:val="24"/>
          <w:szCs w:val="24"/>
        </w:rPr>
        <w:t>Рис 3.2</w:t>
      </w:r>
      <w:r>
        <w:rPr>
          <w:rFonts w:ascii="Times New Roman" w:hAnsi="Times New Roman" w:cs="Times New Roman"/>
          <w:sz w:val="24"/>
          <w:szCs w:val="24"/>
        </w:rPr>
        <w:t xml:space="preserve">. Спектральные характеристики возбуждения и люминесценции костного шлифа </w:t>
      </w:r>
      <w:r w:rsidRPr="0039286E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времени высушивания: 1-1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сухие кости; 2-2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влажные кости; 3-3' – кости после одних суток высушивания; 4-4</w:t>
      </w:r>
      <w:r w:rsidRPr="004C0572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– кости после трех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5-5'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десяти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6-6'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17 суток высушивания.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 xml:space="preserve"> Из рисунка видно, что все кривые качественно одинаковые, но имеют количественное различие: у сухой кости максимум люминесценции составляет 7 о.е., у влажных костей 1,8о.е, на следующие сутки резко увеличивается до 9,3 о.е., через два дня 12,1о.е., через неделю12,9 о.е. и еще через неделю 13,0 о.е. Стоксов сдвиг от степени гидратации не зависит и составляет 68…77 нм. Мы вычисляли такой параметр люминесценции как поток по соответствующей кривой от 445нм до 600нм, такой же параметр измеряется на кривые возбуждения в диапазоне от 380нм до 470нм. Результаты представлены в табл. 3.1. </w:t>
      </w:r>
    </w:p>
    <w:p w:rsidR="00A16BA8" w:rsidRDefault="00A16BA8" w:rsidP="00A16B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6BA8" w:rsidRDefault="00A16BA8" w:rsidP="00A16B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16BA8" w:rsidRPr="00AD6B2C" w:rsidRDefault="00A16BA8" w:rsidP="00A16BA8">
      <w:pPr>
        <w:spacing w:after="0" w:line="240" w:lineRule="auto"/>
        <w:jc w:val="right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Таблица 3.1</w:t>
      </w:r>
      <w:r w:rsidRPr="00AD6B2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16BA8" w:rsidRPr="00A11755" w:rsidRDefault="00A16BA8" w:rsidP="00A16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755">
        <w:rPr>
          <w:rFonts w:ascii="Times New Roman" w:hAnsi="Times New Roman" w:cs="Times New Roman"/>
          <w:b/>
          <w:sz w:val="24"/>
          <w:szCs w:val="24"/>
        </w:rPr>
        <w:t>Параметры возбуждения и люминесценции для костного шлифа 67</w:t>
      </w:r>
      <w:r w:rsidRPr="00A1175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A11755">
        <w:rPr>
          <w:rFonts w:ascii="Times New Roman" w:hAnsi="Times New Roman" w:cs="Times New Roman"/>
          <w:b/>
          <w:sz w:val="24"/>
          <w:szCs w:val="24"/>
        </w:rPr>
        <w:t xml:space="preserve"> в зависимости от времени.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1383"/>
        <w:gridCol w:w="1731"/>
        <w:gridCol w:w="1677"/>
        <w:gridCol w:w="1454"/>
        <w:gridCol w:w="1946"/>
        <w:gridCol w:w="1946"/>
      </w:tblGrid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возбуждению,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 о.е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возбуждению,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 о.е.</w:t>
            </w:r>
          </w:p>
        </w:tc>
        <w:tc>
          <w:tcPr>
            <w:tcW w:w="1595" w:type="dxa"/>
          </w:tcPr>
          <w:p w:rsidR="00A16BA8" w:rsidRDefault="00A16BA8" w:rsidP="00765E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Стоксов сдвиг,</w:t>
            </w:r>
          </w:p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Δλ, нм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люминесценции,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мах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о.е.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люминесценции,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Φ, о.е.</w:t>
            </w:r>
          </w:p>
        </w:tc>
      </w:tr>
      <w:tr w:rsidR="00A16BA8" w:rsidRPr="006B489B" w:rsidTr="00765E86">
        <w:trPr>
          <w:trHeight w:val="257"/>
        </w:trPr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401,1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</w:tr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555,3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</w:tr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726,8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12,1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1286</w:t>
            </w:r>
          </w:p>
        </w:tc>
      </w:tr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770,7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12,9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1374</w:t>
            </w:r>
          </w:p>
        </w:tc>
      </w:tr>
      <w:tr w:rsidR="00A16BA8" w:rsidRPr="006B489B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13,1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764,6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13,0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8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1397</w:t>
            </w:r>
          </w:p>
        </w:tc>
      </w:tr>
    </w:tbl>
    <w:p w:rsidR="00A16BA8" w:rsidRDefault="00A16BA8" w:rsidP="00A16BA8">
      <w:pPr>
        <w:spacing w:before="24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 xml:space="preserve">Из таблицы 3.1. видно что при увлажнении поток люминесценции падает в 3,7 раз, далее он увеличивается по зависимости близкой к логарифмической, </w:t>
      </w:r>
      <w:r w:rsidRPr="0072722C">
        <w:rPr>
          <w:rFonts w:ascii="Times New Roman" w:eastAsia="Tahoma" w:hAnsi="Times New Roman" w:cs="Times New Roman"/>
          <w:sz w:val="28"/>
          <w:szCs w:val="28"/>
        </w:rPr>
        <w:t>логарифмически увеличиваяс</w:t>
      </w:r>
      <w:r>
        <w:rPr>
          <w:rFonts w:ascii="Times New Roman" w:eastAsia="Tahoma" w:hAnsi="Times New Roman" w:cs="Times New Roman"/>
          <w:sz w:val="28"/>
          <w:szCs w:val="28"/>
        </w:rPr>
        <w:t xml:space="preserve">ь поток люминесценции высушенного костного шлифа превышает поток сухого костного шлифа  в 1,3 раза. На рисунке 3.3. представлена зависимость относительного потока люминесценции от времени высушивания. </w:t>
      </w:r>
    </w:p>
    <w:p w:rsidR="00A16BA8" w:rsidRDefault="00A16BA8" w:rsidP="00A16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019425"/>
            <wp:effectExtent l="19050" t="0" r="0" b="0"/>
            <wp:docPr id="23" name="Рисунок 7" descr="C:\Users\Валент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1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7C9">
        <w:rPr>
          <w:rFonts w:ascii="Times New Roman" w:hAnsi="Times New Roman" w:cs="Times New Roman"/>
          <w:b/>
          <w:sz w:val="24"/>
          <w:szCs w:val="24"/>
        </w:rPr>
        <w:t>Рис. 3.3</w:t>
      </w:r>
      <w:r w:rsidRPr="006B489B">
        <w:rPr>
          <w:rFonts w:ascii="Times New Roman" w:hAnsi="Times New Roman" w:cs="Times New Roman"/>
          <w:sz w:val="24"/>
          <w:szCs w:val="24"/>
        </w:rPr>
        <w:t>. Зависимость параметров люминесценции от времени высушивания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BA8" w:rsidRDefault="00A16BA8" w:rsidP="00A16BA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>С помощью такой же методики были исследованы еще два шлифа: 105</w:t>
      </w:r>
      <w:r>
        <w:rPr>
          <w:rFonts w:ascii="Times New Roman" w:eastAsia="Tahom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ahoma" w:hAnsi="Times New Roman" w:cs="Times New Roman"/>
          <w:sz w:val="28"/>
          <w:szCs w:val="28"/>
        </w:rPr>
        <w:t xml:space="preserve"> и </w:t>
      </w:r>
      <w:r w:rsidRPr="00C406C8">
        <w:rPr>
          <w:rFonts w:ascii="Times New Roman" w:eastAsia="Tahoma" w:hAnsi="Times New Roman" w:cs="Times New Roman"/>
          <w:sz w:val="28"/>
          <w:szCs w:val="28"/>
        </w:rPr>
        <w:t>141</w:t>
      </w:r>
      <w:r>
        <w:rPr>
          <w:rFonts w:ascii="Times New Roman" w:eastAsia="Tahom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ahoma" w:hAnsi="Times New Roman" w:cs="Times New Roman"/>
          <w:sz w:val="28"/>
          <w:szCs w:val="28"/>
        </w:rPr>
        <w:t>.  В результате исследования были получены следующие результаты у шлифа 105s: усредненные характеристики по трем точкам представлены на рис 3.4.</w:t>
      </w:r>
    </w:p>
    <w:p w:rsidR="00A16BA8" w:rsidRPr="00212AA9" w:rsidRDefault="00A16BA8" w:rsidP="00A16B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164782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8F0">
        <w:rPr>
          <w:rFonts w:ascii="Times New Roman" w:hAnsi="Times New Roman" w:cs="Times New Roman"/>
          <w:b/>
          <w:sz w:val="24"/>
          <w:szCs w:val="24"/>
        </w:rPr>
        <w:t>Рис 3.4.</w:t>
      </w:r>
      <w:r>
        <w:rPr>
          <w:rFonts w:ascii="Times New Roman" w:hAnsi="Times New Roman" w:cs="Times New Roman"/>
          <w:sz w:val="24"/>
          <w:szCs w:val="24"/>
        </w:rPr>
        <w:t xml:space="preserve"> Спектральные характеристики возбуждения и люминесценции костного шлифа 105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времени высушивания: 1-1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сухие кости; 2-2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влажные кости; 3-3' – кости после одних суток высушивания; 4-4</w:t>
      </w:r>
      <w:r w:rsidRPr="004C0572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– кости после трех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5-5'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десяти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6-6'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17 суток высушивания.</w:t>
      </w:r>
    </w:p>
    <w:p w:rsidR="00A16BA8" w:rsidRPr="008C4013" w:rsidRDefault="00A16BA8" w:rsidP="00A16BA8">
      <w:pPr>
        <w:spacing w:after="24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 xml:space="preserve"> Из рисунка видно, что все кривые качественно одинаковые но имеют количественное различие: у сухой кости максимум люминесценции составляет 7 о.е., у влажных костей 2,5 о.е, на следующие сутки резко увеличивается превышая даже первоначальное измерение до 11,4 о.е., через два дня 12,9 о.е., через неделю 13,6 о.е. и еще через неделю 14,2 о.е. Стоксов сдвиг от степени гидратации не зависит и составляет 68…73 нм. Далее вычисляли такой параметр люминесценции как поток  по кривой φ</w:t>
      </w:r>
      <w:r>
        <w:rPr>
          <w:rFonts w:ascii="Times New Roman" w:eastAsia="Tahoma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eastAsia="Tahoma" w:hAnsi="Times New Roman" w:cs="Times New Roman"/>
          <w:sz w:val="28"/>
          <w:szCs w:val="28"/>
        </w:rPr>
        <w:t>(λ). П</w:t>
      </w:r>
      <w:r w:rsidRPr="00165BC1">
        <w:rPr>
          <w:rFonts w:ascii="Times New Roman" w:eastAsia="Tahoma" w:hAnsi="Times New Roman" w:cs="Times New Roman"/>
          <w:sz w:val="28"/>
          <w:szCs w:val="28"/>
        </w:rPr>
        <w:t>о</w:t>
      </w:r>
      <w:r>
        <w:rPr>
          <w:rFonts w:ascii="Times New Roman" w:eastAsia="Tahoma" w:hAnsi="Times New Roman" w:cs="Times New Roman"/>
          <w:sz w:val="28"/>
          <w:szCs w:val="28"/>
        </w:rPr>
        <w:t xml:space="preserve"> соответствующей кривой от 445нм до 600нм, аналогичный параметр измеряется на кривой возбуждения в диапазоне от 380нм до 470нм. Результаты представлены в табл. 3.2.  </w:t>
      </w:r>
    </w:p>
    <w:p w:rsidR="00A16BA8" w:rsidRPr="009C07C9" w:rsidRDefault="00A16BA8" w:rsidP="00A16B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3.2</w:t>
      </w:r>
    </w:p>
    <w:p w:rsidR="00A16BA8" w:rsidRPr="009878F0" w:rsidRDefault="00A16BA8" w:rsidP="00A16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8F0">
        <w:rPr>
          <w:rFonts w:ascii="Times New Roman" w:hAnsi="Times New Roman" w:cs="Times New Roman"/>
          <w:b/>
          <w:sz w:val="24"/>
          <w:szCs w:val="24"/>
        </w:rPr>
        <w:t>Параметры возбуждения и люминесценции для костного шлифа 105</w:t>
      </w:r>
      <w:r w:rsidRPr="009878F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878F0">
        <w:rPr>
          <w:rFonts w:ascii="Times New Roman" w:hAnsi="Times New Roman" w:cs="Times New Roman"/>
          <w:b/>
          <w:sz w:val="24"/>
          <w:szCs w:val="24"/>
        </w:rPr>
        <w:t xml:space="preserve"> в зависимости от времени.</w:t>
      </w:r>
    </w:p>
    <w:tbl>
      <w:tblPr>
        <w:tblStyle w:val="af"/>
        <w:tblW w:w="0" w:type="auto"/>
        <w:tblLook w:val="04A0"/>
      </w:tblPr>
      <w:tblGrid>
        <w:gridCol w:w="1382"/>
        <w:gridCol w:w="1731"/>
        <w:gridCol w:w="1677"/>
        <w:gridCol w:w="1455"/>
        <w:gridCol w:w="1946"/>
        <w:gridCol w:w="1946"/>
      </w:tblGrid>
      <w:tr w:rsidR="00A16BA8" w:rsidTr="00765E86">
        <w:tc>
          <w:tcPr>
            <w:tcW w:w="1594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возбуждению,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 о.е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возбуждению,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 о.е.</w:t>
            </w:r>
          </w:p>
        </w:tc>
        <w:tc>
          <w:tcPr>
            <w:tcW w:w="1595" w:type="dxa"/>
          </w:tcPr>
          <w:p w:rsidR="00A16BA8" w:rsidRDefault="00A16BA8" w:rsidP="00765E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Стоксов сдвиг,</w:t>
            </w:r>
          </w:p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Δλ, нм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люминесценции,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мах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о.е.</w:t>
            </w:r>
          </w:p>
        </w:tc>
        <w:tc>
          <w:tcPr>
            <w:tcW w:w="1596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люминесценции,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Φ, о.е.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390,4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726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132,8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671,6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1214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12,9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797,5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12,9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1374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13,2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797,7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13,6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1443</w:t>
            </w:r>
          </w:p>
        </w:tc>
      </w:tr>
      <w:tr w:rsidR="00A16BA8" w:rsidTr="00765E86">
        <w:tc>
          <w:tcPr>
            <w:tcW w:w="1594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14,4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873,7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14,2</w:t>
            </w:r>
          </w:p>
        </w:tc>
        <w:tc>
          <w:tcPr>
            <w:tcW w:w="1596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1519</w:t>
            </w:r>
          </w:p>
        </w:tc>
      </w:tr>
    </w:tbl>
    <w:p w:rsidR="00A16BA8" w:rsidRDefault="00A16BA8" w:rsidP="00A16BA8">
      <w:pPr>
        <w:spacing w:before="240"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 xml:space="preserve">Из таблицы 3.2. видно что при увлажнении поток люминесценции падает в 2,8 раз, далее он увеличивается по зависимости близкой к логарифмической, </w:t>
      </w:r>
      <w:r w:rsidRPr="0072722C">
        <w:rPr>
          <w:rFonts w:ascii="Times New Roman" w:eastAsia="Tahoma" w:hAnsi="Times New Roman" w:cs="Times New Roman"/>
          <w:sz w:val="28"/>
          <w:szCs w:val="28"/>
        </w:rPr>
        <w:t>логарифмически увеличиваяс</w:t>
      </w:r>
      <w:r>
        <w:rPr>
          <w:rFonts w:ascii="Times New Roman" w:eastAsia="Tahoma" w:hAnsi="Times New Roman" w:cs="Times New Roman"/>
          <w:sz w:val="28"/>
          <w:szCs w:val="28"/>
        </w:rPr>
        <w:t xml:space="preserve">ь поток люминесценции высушенного костного шлифа превышает поток сухого костного шлифа  в 1,7 раза. На рисунке 3.5. </w:t>
      </w:r>
      <w:r>
        <w:rPr>
          <w:rFonts w:ascii="Times New Roman" w:eastAsia="Tahoma" w:hAnsi="Times New Roman" w:cs="Times New Roman"/>
          <w:sz w:val="28"/>
          <w:szCs w:val="28"/>
        </w:rPr>
        <w:lastRenderedPageBreak/>
        <w:t>представлена зависимость относительного потока люминесценции от времени высушивания.</w:t>
      </w:r>
    </w:p>
    <w:p w:rsidR="00A16BA8" w:rsidRDefault="00A16BA8" w:rsidP="00A16BA8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75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4500" cy="3248025"/>
            <wp:effectExtent l="19050" t="0" r="0" b="0"/>
            <wp:docPr id="15" name="Рисунок 8" descr="C:\Users\Валент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8F0">
        <w:rPr>
          <w:rFonts w:ascii="Times New Roman" w:hAnsi="Times New Roman" w:cs="Times New Roman"/>
          <w:b/>
          <w:sz w:val="24"/>
          <w:szCs w:val="24"/>
        </w:rPr>
        <w:t>Рис. 3.5</w:t>
      </w:r>
      <w:r w:rsidRPr="009878F0">
        <w:rPr>
          <w:rFonts w:ascii="Times New Roman" w:hAnsi="Times New Roman" w:cs="Times New Roman"/>
          <w:sz w:val="24"/>
          <w:szCs w:val="24"/>
        </w:rPr>
        <w:t>. Зависимость параметров люминесценции от времени высушивания.</w:t>
      </w:r>
    </w:p>
    <w:p w:rsidR="00A16BA8" w:rsidRPr="008C4013" w:rsidRDefault="00A16BA8" w:rsidP="00A16BA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CEF">
        <w:rPr>
          <w:rFonts w:ascii="Times New Roman" w:hAnsi="Times New Roman" w:cs="Times New Roman"/>
          <w:sz w:val="28"/>
          <w:szCs w:val="28"/>
        </w:rPr>
        <w:t>У шлифа 141</w:t>
      </w:r>
      <w:r w:rsidRPr="00964C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64CEF">
        <w:rPr>
          <w:rFonts w:ascii="Times New Roman" w:hAnsi="Times New Roman" w:cs="Times New Roman"/>
          <w:sz w:val="28"/>
          <w:szCs w:val="28"/>
        </w:rPr>
        <w:t xml:space="preserve"> получены следующие результаты: усредненные характеристики по трем точкам представлены на рис 3.6. </w:t>
      </w:r>
    </w:p>
    <w:p w:rsidR="00A16BA8" w:rsidRDefault="00A16BA8" w:rsidP="00A16BA8">
      <w:pPr>
        <w:spacing w:line="360" w:lineRule="auto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drawing>
          <wp:inline distT="0" distB="0" distL="0" distR="0">
            <wp:extent cx="5939790" cy="1571625"/>
            <wp:effectExtent l="19050" t="0" r="381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A8" w:rsidRDefault="00A16BA8" w:rsidP="00A16BA8">
      <w:pPr>
        <w:spacing w:after="240" w:line="240" w:lineRule="auto"/>
        <w:jc w:val="both"/>
        <w:rPr>
          <w:rFonts w:ascii="Times New Roman" w:eastAsia="Tahoma" w:hAnsi="Times New Roman" w:cs="Times New Roman"/>
          <w:sz w:val="28"/>
          <w:szCs w:val="28"/>
        </w:rPr>
      </w:pPr>
      <w:r w:rsidRPr="009878F0">
        <w:rPr>
          <w:rFonts w:ascii="Times New Roman" w:hAnsi="Times New Roman" w:cs="Times New Roman"/>
          <w:b/>
          <w:sz w:val="24"/>
          <w:szCs w:val="24"/>
        </w:rPr>
        <w:t>Рис 3.6</w:t>
      </w:r>
      <w:r>
        <w:rPr>
          <w:rFonts w:ascii="Times New Roman" w:hAnsi="Times New Roman" w:cs="Times New Roman"/>
          <w:sz w:val="24"/>
          <w:szCs w:val="24"/>
        </w:rPr>
        <w:t xml:space="preserve">. Спектральные характеристики возбуждения и люминесценции костного шлифа </w:t>
      </w:r>
      <w:r w:rsidRPr="004C0572">
        <w:rPr>
          <w:rFonts w:ascii="Times New Roman" w:hAnsi="Times New Roman" w:cs="Times New Roman"/>
          <w:sz w:val="24"/>
          <w:szCs w:val="24"/>
        </w:rPr>
        <w:t>141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времени высушивания: 1-1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сухие кости; 2-2</w:t>
      </w:r>
      <w:r w:rsidRPr="0039286E">
        <w:rPr>
          <w:rFonts w:ascii="Times New Roman" w:hAnsi="Times New Roman" w:cs="Times New Roman"/>
          <w:sz w:val="24"/>
          <w:szCs w:val="24"/>
        </w:rPr>
        <w:t xml:space="preserve">' </w:t>
      </w:r>
      <w:r>
        <w:rPr>
          <w:rFonts w:ascii="Times New Roman" w:hAnsi="Times New Roman" w:cs="Times New Roman"/>
          <w:sz w:val="24"/>
          <w:szCs w:val="24"/>
        </w:rPr>
        <w:t>– влажные кости; 3-3' – кости после одних суток высушивания; 4-4</w:t>
      </w:r>
      <w:r w:rsidRPr="004C0572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– кости после трех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5-5'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десяти суток высушивания</w:t>
      </w:r>
      <w:r w:rsidRPr="004C0572">
        <w:rPr>
          <w:rFonts w:ascii="Times New Roman" w:hAnsi="Times New Roman" w:cs="Times New Roman"/>
          <w:sz w:val="24"/>
          <w:szCs w:val="24"/>
        </w:rPr>
        <w:t>; 6-6' –</w:t>
      </w:r>
      <w:r>
        <w:rPr>
          <w:rFonts w:ascii="Times New Roman" w:hAnsi="Times New Roman" w:cs="Times New Roman"/>
          <w:sz w:val="24"/>
          <w:szCs w:val="24"/>
        </w:rPr>
        <w:t xml:space="preserve"> кости после 17 суток высушивания.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 xml:space="preserve">Из рисунка видно, что все кривые качественно одинаковые, но имеют </w:t>
      </w:r>
    </w:p>
    <w:p w:rsidR="00A16BA8" w:rsidRDefault="00A16BA8" w:rsidP="00A16BA8">
      <w:pPr>
        <w:spacing w:line="360" w:lineRule="auto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>количественное различие: у сухой кости максимум люминесценции составляет 8,8 о.е., у влажных костей 1,9 о.е, на следующие сутки резко увеличивается до 10,6 о.е., через два дня 11,8 о.е., через неделю 12,4 о.е. и еще через неделю 13,7 о.е. Стоксов сдвиг от степени гидратации не зависит и составляет 65…71 нм. Далее вычисляли такой параметр люминесценции как поток  по кривой φ</w:t>
      </w:r>
      <w:r>
        <w:rPr>
          <w:rFonts w:ascii="Times New Roman" w:eastAsia="Tahoma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eastAsia="Tahoma" w:hAnsi="Times New Roman" w:cs="Times New Roman"/>
          <w:sz w:val="28"/>
          <w:szCs w:val="28"/>
        </w:rPr>
        <w:t>(λ). П</w:t>
      </w:r>
      <w:r w:rsidRPr="00165BC1">
        <w:rPr>
          <w:rFonts w:ascii="Times New Roman" w:eastAsia="Tahoma" w:hAnsi="Times New Roman" w:cs="Times New Roman"/>
          <w:sz w:val="28"/>
          <w:szCs w:val="28"/>
        </w:rPr>
        <w:t>о</w:t>
      </w:r>
      <w:r>
        <w:rPr>
          <w:rFonts w:ascii="Times New Roman" w:eastAsia="Tahoma" w:hAnsi="Times New Roman" w:cs="Times New Roman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sz w:val="28"/>
          <w:szCs w:val="28"/>
        </w:rPr>
        <w:lastRenderedPageBreak/>
        <w:t>соответствующей кривой от 445нм до 600нм, аналогичный параметр измеряется на кривые возбуждения в диапазоне от 380нм до 470нм. Результаты представлены в табл. 3.3.</w:t>
      </w:r>
    </w:p>
    <w:p w:rsidR="00A16BA8" w:rsidRPr="00622294" w:rsidRDefault="00A16BA8" w:rsidP="00A16BA8">
      <w:pPr>
        <w:spacing w:after="0" w:line="240" w:lineRule="auto"/>
        <w:ind w:firstLine="709"/>
        <w:jc w:val="right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Таблица 3.3</w:t>
      </w:r>
    </w:p>
    <w:p w:rsidR="00A16BA8" w:rsidRPr="00AD37D4" w:rsidRDefault="00A16BA8" w:rsidP="00A16BA8">
      <w:pPr>
        <w:spacing w:after="0" w:line="240" w:lineRule="auto"/>
        <w:ind w:firstLine="709"/>
        <w:jc w:val="center"/>
        <w:rPr>
          <w:rFonts w:ascii="Times New Roman" w:eastAsia="Tahoma" w:hAnsi="Times New Roman" w:cs="Times New Roman"/>
          <w:b/>
          <w:sz w:val="28"/>
          <w:szCs w:val="28"/>
        </w:rPr>
      </w:pPr>
      <w:r w:rsidRPr="00AD37D4">
        <w:rPr>
          <w:rFonts w:ascii="Times New Roman" w:eastAsia="Tahoma" w:hAnsi="Times New Roman" w:cs="Times New Roman"/>
          <w:b/>
          <w:sz w:val="24"/>
          <w:szCs w:val="24"/>
        </w:rPr>
        <w:t>Параметры возбуждения и люминесценции для костного шлифа 141</w:t>
      </w:r>
      <w:r w:rsidRPr="00AD37D4">
        <w:rPr>
          <w:rFonts w:ascii="Times New Roman" w:eastAsia="Tahoma" w:hAnsi="Times New Roman" w:cs="Times New Roman"/>
          <w:b/>
          <w:sz w:val="24"/>
          <w:szCs w:val="24"/>
          <w:lang w:val="en-US"/>
        </w:rPr>
        <w:t>s</w:t>
      </w:r>
      <w:r w:rsidRPr="00AD37D4">
        <w:rPr>
          <w:rFonts w:ascii="Times New Roman" w:eastAsia="Tahoma" w:hAnsi="Times New Roman" w:cs="Times New Roman"/>
          <w:b/>
          <w:sz w:val="24"/>
          <w:szCs w:val="24"/>
        </w:rPr>
        <w:t xml:space="preserve"> в зависимости от времени.</w:t>
      </w:r>
    </w:p>
    <w:tbl>
      <w:tblPr>
        <w:tblStyle w:val="af"/>
        <w:tblW w:w="0" w:type="auto"/>
        <w:tblLook w:val="04A0"/>
      </w:tblPr>
      <w:tblGrid>
        <w:gridCol w:w="1383"/>
        <w:gridCol w:w="1731"/>
        <w:gridCol w:w="1677"/>
        <w:gridCol w:w="1454"/>
        <w:gridCol w:w="1946"/>
        <w:gridCol w:w="1946"/>
      </w:tblGrid>
      <w:tr w:rsidR="00A16BA8" w:rsidTr="00765E86"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возбуждению,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, о.е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возбуждению,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 о.е.</w:t>
            </w:r>
          </w:p>
        </w:tc>
        <w:tc>
          <w:tcPr>
            <w:tcW w:w="1595" w:type="dxa"/>
          </w:tcPr>
          <w:p w:rsidR="00A16BA8" w:rsidRDefault="00A16BA8" w:rsidP="00765E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Стоксов сдвиг,</w:t>
            </w:r>
          </w:p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Δλ, нм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значение по люминесценции, </w:t>
            </w:r>
            <w:r w:rsidRPr="006B489B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B489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мах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о.е.</w:t>
            </w:r>
          </w:p>
        </w:tc>
        <w:tc>
          <w:tcPr>
            <w:tcW w:w="1595" w:type="dxa"/>
          </w:tcPr>
          <w:p w:rsidR="00A16BA8" w:rsidRPr="006B489B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Интеграл по люминесценции, </w:t>
            </w:r>
            <w:r w:rsidRPr="006B4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Φ, о.е.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522,8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930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123,1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629,2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1167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703,0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1277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762,2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6BA8" w:rsidTr="00765E86"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13,6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837,9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13,7</w:t>
            </w:r>
          </w:p>
        </w:tc>
        <w:tc>
          <w:tcPr>
            <w:tcW w:w="1595" w:type="dxa"/>
          </w:tcPr>
          <w:p w:rsidR="00A16BA8" w:rsidRPr="00333BC7" w:rsidRDefault="00A16BA8" w:rsidP="00765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1485</w:t>
            </w:r>
          </w:p>
        </w:tc>
      </w:tr>
    </w:tbl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203835</wp:posOffset>
            </wp:positionV>
            <wp:extent cx="5353050" cy="2762250"/>
            <wp:effectExtent l="19050" t="0" r="0" b="0"/>
            <wp:wrapNone/>
            <wp:docPr id="25" name="Рисунок 9" descr="C:\Users\Валенти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3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709"/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A16BA8" w:rsidRDefault="00A16BA8" w:rsidP="00A16BA8">
      <w:pPr>
        <w:spacing w:before="12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8F0">
        <w:rPr>
          <w:rFonts w:ascii="Times New Roman" w:hAnsi="Times New Roman" w:cs="Times New Roman"/>
          <w:b/>
          <w:sz w:val="24"/>
          <w:szCs w:val="24"/>
        </w:rPr>
        <w:t>Рис. 3.7.</w:t>
      </w:r>
      <w:r w:rsidRPr="00333BC7">
        <w:rPr>
          <w:rFonts w:ascii="Times New Roman" w:hAnsi="Times New Roman" w:cs="Times New Roman"/>
          <w:sz w:val="24"/>
          <w:szCs w:val="24"/>
        </w:rPr>
        <w:t xml:space="preserve"> Зависимость параметров люминесценции от времени высушивания</w:t>
      </w:r>
    </w:p>
    <w:p w:rsidR="00A16BA8" w:rsidRPr="001D0883" w:rsidRDefault="00A16BA8" w:rsidP="00A16BA8">
      <w:pPr>
        <w:spacing w:after="0" w:line="360" w:lineRule="auto"/>
        <w:ind w:firstLine="567"/>
        <w:jc w:val="both"/>
        <w:rPr>
          <w:rFonts w:ascii="Times New Roman" w:eastAsia="Tahoma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sz w:val="28"/>
          <w:szCs w:val="28"/>
        </w:rPr>
        <w:t>Из таблицы 3.3. видно, что при  увлажнении поток люминесценции падает в 4,4 раза, далее он увеличивается по зависимости близкой к логарифмической, логарифмически увеличиваясь поток люминесценции высушенного костного шлифа в 1,3 раза. На рисунке 3.7. представлена зависимость относительного потока люминесценции от времени высушивания.</w:t>
      </w:r>
      <w:r w:rsidRPr="007015B9">
        <w:rPr>
          <w:rFonts w:ascii="Times New Roman" w:eastAsia="Tahoma" w:hAnsi="Times New Roman" w:cs="Times New Roman"/>
          <w:sz w:val="28"/>
          <w:szCs w:val="28"/>
        </w:rPr>
        <w:t xml:space="preserve"> </w:t>
      </w:r>
      <w:r>
        <w:rPr>
          <w:rFonts w:ascii="Times New Roman" w:eastAsia="Tahoma" w:hAnsi="Times New Roman" w:cs="Times New Roman"/>
          <w:sz w:val="28"/>
          <w:szCs w:val="28"/>
        </w:rPr>
        <w:t>Из рисунка видно, что все кривые качественно одинаковые, но имеют количественное различие.</w:t>
      </w: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3D2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для всех исследованных костных шлифов зависимости люминесцентных характеристик и параметров от времени высушивания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получились схожие. Было установлено, что после увлажнения поток люминесценции костных шлифов падает в 2,8...3,7 раза потом начинается высушивание, и поток люминесценции логарифмически увеличивается, быстро превышая при этом поток люминесценции сухих костных шлифов в 1,2...1,7. Это может быть вызвано взаимодействием воды с веществом костных шлифов.</w:t>
      </w: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0FE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A16BA8" w:rsidRPr="009230FE" w:rsidRDefault="00A16BA8" w:rsidP="00A16B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BA8" w:rsidRDefault="00A16BA8" w:rsidP="00A16B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BA8" w:rsidRDefault="00A16BA8" w:rsidP="00A16BA8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A16BA8" w:rsidRPr="00EF269A" w:rsidRDefault="00A16BA8" w:rsidP="00A16BA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A16BA8" w:rsidRPr="00B103B7" w:rsidRDefault="00A16BA8" w:rsidP="00A16BA8">
      <w:pPr>
        <w:pStyle w:val="1"/>
        <w:spacing w:before="0" w:after="360"/>
        <w:ind w:firstLine="0"/>
        <w:jc w:val="both"/>
        <w:rPr>
          <w:b w:val="0"/>
        </w:rPr>
      </w:pPr>
    </w:p>
    <w:p w:rsidR="00A16BA8" w:rsidRDefault="00A16BA8" w:rsidP="001379D1"/>
    <w:p w:rsidR="00A16BA8" w:rsidRDefault="00A16BA8" w:rsidP="001379D1"/>
    <w:p w:rsidR="00A16BA8" w:rsidRDefault="00A16BA8" w:rsidP="001379D1"/>
    <w:p w:rsidR="00A16BA8" w:rsidRDefault="00A16BA8" w:rsidP="001379D1"/>
    <w:p w:rsidR="00A16BA8" w:rsidRDefault="00A16BA8" w:rsidP="001379D1"/>
    <w:p w:rsidR="00A16BA8" w:rsidRDefault="00A16BA8" w:rsidP="001379D1"/>
    <w:p w:rsidR="00A16BA8" w:rsidRDefault="00A16BA8" w:rsidP="001379D1"/>
    <w:p w:rsidR="00A16BA8" w:rsidRDefault="00A16BA8" w:rsidP="001379D1"/>
    <w:p w:rsidR="00A16BA8" w:rsidRPr="007B256D" w:rsidRDefault="00A16BA8" w:rsidP="00A16BA8">
      <w:pPr>
        <w:spacing w:after="36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256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A16BA8" w:rsidRPr="005640B9" w:rsidRDefault="00A16BA8" w:rsidP="00A16BA8">
      <w:pPr>
        <w:pStyle w:val="a0"/>
      </w:pPr>
      <w:r w:rsidRPr="005640B9">
        <w:t xml:space="preserve">Кость  как орган живого организма состоит из нескольких тканей, главнейшей из которых является костная. Это один из  видов  соединительной  ткани, состоящей  из  трех  видов  клеток и </w:t>
      </w:r>
      <w:proofErr w:type="spellStart"/>
      <w:r w:rsidRPr="005640B9">
        <w:t>обизвествленного</w:t>
      </w:r>
      <w:proofErr w:type="spellEnd"/>
      <w:r w:rsidRPr="005640B9">
        <w:t xml:space="preserve"> межклеточного матрикса. Клетки составляют 1–2% от всего объема костной ткани, остальной объем занят порами и каналами (для компактной  костной ткани пористость составляет 13–18%, для губчатой она выше) и твердой фазой – органическими и минеральными   составляющими костных пластинок. Органическая составляющая (40–50% твердой фазы) представлена коллагеном. Минеральная составляющая (50–60%  твердой  фазы)  – преимущественно кристаллы </w:t>
      </w:r>
      <w:proofErr w:type="spellStart"/>
      <w:r w:rsidRPr="005640B9">
        <w:t>гидроксилапатита</w:t>
      </w:r>
      <w:proofErr w:type="spellEnd"/>
      <w:r w:rsidRPr="005640B9">
        <w:t xml:space="preserve"> Са10 (РО4 ) 6 (ОН)2  и других солей кальция.</w:t>
      </w:r>
    </w:p>
    <w:p w:rsidR="00A16BA8" w:rsidRPr="005640B9" w:rsidRDefault="00A16BA8" w:rsidP="00A16BA8">
      <w:pPr>
        <w:pStyle w:val="a0"/>
      </w:pPr>
      <w:r w:rsidRPr="005640B9">
        <w:t xml:space="preserve">В пределах пластинки коллаген минеральные волокна ориентированы в определенном направлении и соединены связующим веществом. Костная ткань, образующая кости скелета, отличается большой прочностью. Она поддерживает форму тела (конституцию) и защищает органы, расположенные в черепной коробке, грудной и тазовой полостях, участвует в минеральном обмене. Ткань состоит из клеток (остеоцитов) и межклеточного вещества, в котором расположены питательные каналы с сосудами. В межклеточном веществе содержится до 70% минеральных солей (кальций, фосфор и магний). </w:t>
      </w:r>
    </w:p>
    <w:p w:rsidR="00A16BA8" w:rsidRPr="005640B9" w:rsidRDefault="00A16BA8" w:rsidP="00A16BA8">
      <w:pPr>
        <w:pStyle w:val="a0"/>
      </w:pPr>
      <w:r w:rsidRPr="005640B9">
        <w:t xml:space="preserve">Способность костной ткани, а именно коллагена в ней, к </w:t>
      </w:r>
      <w:proofErr w:type="spellStart"/>
      <w:r w:rsidRPr="005640B9">
        <w:t>фотофлуоресценции</w:t>
      </w:r>
      <w:proofErr w:type="spellEnd"/>
      <w:r w:rsidRPr="005640B9">
        <w:t xml:space="preserve"> позволяет с помощью </w:t>
      </w:r>
      <w:r w:rsidRPr="005640B9">
        <w:rPr>
          <w:i/>
        </w:rPr>
        <w:t xml:space="preserve">макроскопического флуоресцентный анализа </w:t>
      </w:r>
      <w:r w:rsidRPr="005640B9">
        <w:t>определить степень микробиологического разложения (фоссилизации) костного материала.</w:t>
      </w:r>
    </w:p>
    <w:p w:rsidR="00A16BA8" w:rsidRPr="005640B9" w:rsidRDefault="00A16BA8" w:rsidP="00A16BA8">
      <w:pPr>
        <w:pStyle w:val="a0"/>
      </w:pPr>
      <w:r w:rsidRPr="005640B9">
        <w:t xml:space="preserve">Коллаген относят к флуоресцентным белкам II класса. Его способность к </w:t>
      </w:r>
    </w:p>
    <w:p w:rsidR="00A16BA8" w:rsidRPr="005640B9" w:rsidRDefault="00A16BA8" w:rsidP="00A16BA8">
      <w:pPr>
        <w:pStyle w:val="a0"/>
        <w:ind w:firstLine="0"/>
      </w:pPr>
      <w:r w:rsidRPr="005640B9">
        <w:t xml:space="preserve">флуоресценции определяется наличием в структуре ароматических аминокислот: тирозина и </w:t>
      </w:r>
      <w:proofErr w:type="spellStart"/>
      <w:r w:rsidRPr="005640B9">
        <w:t>фенилаланина</w:t>
      </w:r>
      <w:proofErr w:type="spellEnd"/>
      <w:r w:rsidRPr="005640B9">
        <w:t>. Денатурация флуоресцентных белков всегда сопровождается потерей способности к флуоресценции.</w:t>
      </w:r>
    </w:p>
    <w:p w:rsidR="00A16BA8" w:rsidRDefault="00A16BA8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7"/>
          <w:i w:val="0"/>
        </w:rPr>
        <w:tab/>
      </w:r>
      <w:r w:rsidRPr="005640B9">
        <w:rPr>
          <w:rStyle w:val="a7"/>
          <w:i w:val="0"/>
        </w:rPr>
        <w:t>Способность коллагена к ультрафиолетовой флуоресценции позволяет контролировать процесс минерализации скелетного материала и выявить участки кости  пригодные  для  дальнейших  биохимических   и   генетических   исследований</w:t>
      </w:r>
      <w:r w:rsidRPr="005640B9">
        <w:rPr>
          <w:rStyle w:val="a7"/>
        </w:rPr>
        <w:t xml:space="preserve">. </w:t>
      </w:r>
      <w:r w:rsidRPr="005640B9">
        <w:rPr>
          <w:rFonts w:ascii="Times New Roman" w:hAnsi="Times New Roman"/>
          <w:sz w:val="28"/>
          <w:szCs w:val="28"/>
        </w:rPr>
        <w:t xml:space="preserve">При фоссилизации (минерализации кости) происходит разрушение третичной структуры коллагена, сопровождающееся </w:t>
      </w:r>
      <w:r w:rsidRPr="005640B9">
        <w:rPr>
          <w:rFonts w:ascii="Times New Roman" w:hAnsi="Times New Roman"/>
          <w:sz w:val="28"/>
          <w:szCs w:val="28"/>
        </w:rPr>
        <w:lastRenderedPageBreak/>
        <w:t>потерей способности к люминесценции,  поэтому,  оценивая  ультрафиолетовую  люминесценцию  кости, мы определяем степень сохранности коллагена.</w:t>
      </w:r>
    </w:p>
    <w:p w:rsidR="00A16BA8" w:rsidRPr="00372E33" w:rsidRDefault="00A16BA8" w:rsidP="00A16BA8">
      <w:pPr>
        <w:spacing w:after="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40B9">
        <w:rPr>
          <w:rFonts w:ascii="Times New Roman" w:hAnsi="Times New Roman"/>
          <w:color w:val="000000"/>
          <w:sz w:val="28"/>
          <w:szCs w:val="28"/>
          <w:lang w:eastAsia="en-US"/>
        </w:rPr>
        <w:t>Люминесценция  – излучение, представляющее собой избыток над </w:t>
      </w:r>
      <w:hyperlink r:id="rId97" w:tgtFrame="_blank" w:history="1">
        <w:r w:rsidRPr="005640B9">
          <w:rPr>
            <w:rFonts w:ascii="Times New Roman" w:hAnsi="Times New Roman"/>
            <w:color w:val="000000"/>
            <w:sz w:val="28"/>
            <w:szCs w:val="28"/>
            <w:lang w:eastAsia="en-US"/>
          </w:rPr>
          <w:t>тепловым излучением</w:t>
        </w:r>
      </w:hyperlink>
      <w:r w:rsidRPr="005640B9">
        <w:rPr>
          <w:rFonts w:ascii="Times New Roman" w:hAnsi="Times New Roman"/>
          <w:color w:val="000000"/>
          <w:sz w:val="28"/>
          <w:szCs w:val="28"/>
          <w:lang w:eastAsia="en-US"/>
        </w:rPr>
        <w:t> тела и продолжающееся в течение времени, значительно превышающего период световых колебаний, что отличает её от различных видов рассеяния, отражения, параметрические преобразования света, тормозного и Черенкова-Вавилова излучений.</w:t>
      </w:r>
    </w:p>
    <w:p w:rsidR="00A16BA8" w:rsidRPr="005640B9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640B9">
        <w:rPr>
          <w:rFonts w:ascii="Times New Roman" w:hAnsi="Times New Roman"/>
          <w:color w:val="000000"/>
          <w:sz w:val="28"/>
          <w:szCs w:val="28"/>
        </w:rPr>
        <w:t>Наиболее прямым методом исследования первичных стадий фотохимических реакций является изучение кинетики люминесценции (закона возгорания и затухания люминесценции). Измеряя кинетику люминесценции, мы получаем непосредственно зависимость концентрации возбужденных молекул от времени.</w:t>
      </w:r>
    </w:p>
    <w:p w:rsidR="00A16BA8" w:rsidRPr="005640B9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640B9">
        <w:rPr>
          <w:rFonts w:ascii="Times New Roman" w:hAnsi="Times New Roman"/>
          <w:color w:val="000000"/>
          <w:sz w:val="28"/>
          <w:szCs w:val="28"/>
        </w:rPr>
        <w:t xml:space="preserve">При этом для возбуждения люминесценции используют либо короткие </w:t>
      </w:r>
    </w:p>
    <w:p w:rsidR="00A16BA8" w:rsidRPr="005640B9" w:rsidRDefault="00A16BA8" w:rsidP="00A16BA8">
      <w:pPr>
        <w:shd w:val="clear" w:color="auto" w:fill="FFFFFF"/>
        <w:suppressAutoHyphens/>
        <w:spacing w:after="2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640B9">
        <w:rPr>
          <w:rFonts w:ascii="Times New Roman" w:hAnsi="Times New Roman"/>
          <w:color w:val="000000"/>
          <w:sz w:val="28"/>
          <w:szCs w:val="28"/>
        </w:rPr>
        <w:t>импульсы света, либо модулированный свет. Наносекундные и пикосекундные источники света и высокочувствительные сверхбыстрые системы регистрации предоставляют исключительные с точки зрения химической кинетики возможности для исследования механизмов наиболее быстрых химических реакций. Таким образом, для изучения кинетики люминесценции используют импульсные и фазово-модуляционные методы.</w:t>
      </w:r>
    </w:p>
    <w:p w:rsidR="00A16BA8" w:rsidRPr="005640B9" w:rsidRDefault="00A16BA8" w:rsidP="00A16BA8">
      <w:pPr>
        <w:shd w:val="clear" w:color="auto" w:fill="FFFFFF"/>
        <w:suppressAutoHyphens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640B9">
        <w:rPr>
          <w:rFonts w:ascii="Times New Roman" w:hAnsi="Times New Roman"/>
          <w:color w:val="000000"/>
          <w:sz w:val="28"/>
          <w:szCs w:val="28"/>
        </w:rPr>
        <w:t>Импульсные методы позволяют изучать кинетику при любом характере затухания люминесценции. В фазово-модуляционном методе необходимо заранее предполагать вид закона затухания люминесценции, и экспериментально определяют лишь количественные значения параметров. Проверка правильности предполагаемого закона требует особого исследования.</w:t>
      </w:r>
    </w:p>
    <w:p w:rsidR="00A16BA8" w:rsidRDefault="00A16BA8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0B9">
        <w:rPr>
          <w:rFonts w:ascii="Times New Roman" w:hAnsi="Times New Roman"/>
          <w:sz w:val="28"/>
          <w:szCs w:val="28"/>
        </w:rPr>
        <w:t>Для всех исследованных костных шлифов зависимости люминесцентных характеристик и параметров от времени высушивания получились схожие. Было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16BA8" w:rsidRDefault="00A16BA8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40B9">
        <w:rPr>
          <w:rFonts w:ascii="Times New Roman" w:hAnsi="Times New Roman"/>
          <w:sz w:val="28"/>
          <w:szCs w:val="28"/>
        </w:rPr>
        <w:t>установлено, что после увлажнения поток люминесценции костных шлифов падает в 2,8...3,7 раза потом начинается высушивание и поток люминесценции логарифмически увеличивается быстро превышая при этом поток люминесценции сухих костных шлифов в 1,2...1,7. Это может быть вызвано взаимодействием воды с веществом костных шлифов.</w:t>
      </w:r>
    </w:p>
    <w:p w:rsidR="009B04EB" w:rsidRPr="00EF269A" w:rsidRDefault="009B04EB" w:rsidP="009B04EB">
      <w:pPr>
        <w:suppressAutoHyphens/>
        <w:spacing w:after="36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БИБЛИОГРАФИЧЕСКИЙ СПИСОК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Э. Г. </w:t>
      </w:r>
      <w:proofErr w:type="spellStart"/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Улумбек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в</w:t>
      </w:r>
      <w:proofErr w:type="spellEnd"/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, Ю. А. </w:t>
      </w:r>
      <w:proofErr w:type="spellStart"/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Челышев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Гист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гия, , М., 2001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ва С.В.  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флу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ресцентных 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в в медицине [Текст]</w:t>
      </w:r>
    </w:p>
    <w:p w:rsidR="009B04EB" w:rsidRPr="00EF269A" w:rsidRDefault="009B04EB" w:rsidP="009B04E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/ С.В. Иван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ва, Л.Н.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Кирпичён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// Медицинские 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сти. – 2008. – № 12. – С. 56-61.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Меренк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proofErr w:type="spellEnd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В. Г.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макр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пическ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ресцентн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анализа при исслед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материала // Математическая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гия: Электр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нный математический и медик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-би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гический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журнал. – Т. 5. – 2006. 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[Электр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онный 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ресурс]URL:</w:t>
      </w:r>
      <w:hyperlink r:id="rId98" w:history="1"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http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://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www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..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sm</w:t>
        </w:r>
        <w:r w:rsidRPr="00953EDD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lensk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.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ru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/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user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/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sgma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/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MM</w:t>
        </w:r>
        <w:r w:rsidRPr="00953EDD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RPH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/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  <w:lang w:val="en-US"/>
          </w:rPr>
          <w:t>N</w:t>
        </w:r>
        <w:r w:rsidRPr="00EF269A">
          <w:rPr>
            <w:rFonts w:ascii="Times New Roman" w:eastAsia="Times New Roman" w:hAnsi="Times New Roman" w:cs="Times New Roman"/>
            <w:color w:val="003399"/>
            <w:sz w:val="24"/>
            <w:szCs w:val="24"/>
          </w:rPr>
          <w:t>12</w:t>
        </w:r>
      </w:hyperlink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merenk</w:t>
      </w:r>
      <w:proofErr w:type="spellEnd"/>
      <w:r w:rsidRPr="00953ED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merenk</w:t>
      </w:r>
      <w:proofErr w:type="spellEnd"/>
      <w:r w:rsidRPr="00953ED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</w:t>
      </w:r>
      <w:proofErr w:type="spellEnd"/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http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</w:t>
      </w:r>
      <w:r w:rsidRPr="00953ED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lensk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user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sgma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MM</w:t>
      </w:r>
      <w:r w:rsidRPr="00953ED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RPH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TITL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ХэмА</w:t>
      </w:r>
      <w:proofErr w:type="spellEnd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., </w:t>
      </w:r>
      <w:proofErr w:type="spellStart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рмакД</w:t>
      </w:r>
      <w:proofErr w:type="spellEnd"/>
      <w:r w:rsidRPr="00EF26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гия, пер. с англ.. ,т. </w:t>
      </w:r>
      <w:smartTag w:uri="urn:schemas-microsoft-com:office:smarttags" w:element="metricconverter">
        <w:smartTagPr>
          <w:attr w:name="ProductID" w:val="2, М"/>
        </w:smartTagPr>
        <w:r w:rsidRPr="00EF269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2, М</w:t>
        </w:r>
      </w:smartTag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., 2003.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F269A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  <w:lang w:eastAsia="en-US"/>
        </w:rPr>
        <w:t>Захар</w:t>
      </w: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  <w:lang w:eastAsia="en-US"/>
        </w:rPr>
        <w:t>ов</w:t>
      </w:r>
      <w:r w:rsidRPr="00EF269A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  <w:lang w:eastAsia="en-US"/>
        </w:rPr>
        <w:t xml:space="preserve"> И.А.</w:t>
      </w: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 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Люминесцентные мет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ды анализа. Учебн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е п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бие [Текст]/</w:t>
      </w:r>
      <w:r w:rsidRPr="00EF269A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  <w:lang w:eastAsia="en-US"/>
        </w:rPr>
        <w:t xml:space="preserve"> Захар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  <w:lang w:eastAsia="en-US"/>
        </w:rPr>
        <w:t>в И.А., Тим</w:t>
      </w:r>
      <w:r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  <w:lang w:eastAsia="en-US"/>
        </w:rPr>
        <w:t>феев В.Н.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  – Л.: Издательств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ЛГУ, 1978. – 95 с.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EF269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en-US"/>
        </w:rPr>
        <w:t>Ут</w:t>
      </w:r>
      <w:r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en-US"/>
        </w:rPr>
        <w:t>чник</w:t>
      </w:r>
      <w:r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en-US"/>
        </w:rPr>
        <w:t>ова</w:t>
      </w:r>
      <w:proofErr w:type="spellEnd"/>
      <w:r w:rsidRPr="00EF269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en-US"/>
        </w:rPr>
        <w:t xml:space="preserve"> В.В.</w:t>
      </w:r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 xml:space="preserve"> Кинетика люминесценции  [Электр</w:t>
      </w:r>
      <w:r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 xml:space="preserve">нный ресурс] / В.В. </w:t>
      </w:r>
      <w:proofErr w:type="spellStart"/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Ут</w:t>
      </w:r>
      <w:r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чник</w:t>
      </w:r>
      <w:r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ва</w:t>
      </w:r>
      <w:proofErr w:type="spellEnd"/>
      <w:r w:rsidRPr="00EF269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en-US"/>
        </w:rPr>
        <w:t>.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Режим 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ступа: http://www.nan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meter.ru/2012/01/27/luminescencia_269048.html. Дата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бращения: 27.01.2013.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Иван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ов</w:t>
      </w: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А.М.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Фрактальная кинетика люминесценции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рган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люмин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 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верхн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сти твердых тел и 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мальная диффузия 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лекул и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частиц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на границе с жидк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стью: 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Авт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реф</w:t>
      </w:r>
      <w:proofErr w:type="spellEnd"/>
      <w:r w:rsidRPr="00EF269A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  <w:t xml:space="preserve">. дис. канд. тех. наук: Спец.: 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01.04.05 / А.М. Иван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в; ФГ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 ВП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«Калининградский 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сударственный технический университет». 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сква, 2007. – 22с.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Эмануэль</w:t>
      </w:r>
      <w:proofErr w:type="spellEnd"/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Н.М.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Экспериментальные мет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ды химическ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й кинетики: Учебн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е 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бие [Текст] / Кузьмин М. Г. – М.: Издательств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вск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университета, 1985. – 223с.  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Катал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г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дственн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й фирмы «</w:t>
      </w:r>
      <w:proofErr w:type="spellStart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Люмэкс</w:t>
      </w:r>
      <w:proofErr w:type="spellEnd"/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 [Электр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нный ресурс]. – Режим 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</w:t>
      </w:r>
      <w:r w:rsidRPr="00EF269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ступа: </w:t>
      </w:r>
      <w:hyperlink r:id="rId99" w:history="1">
        <w:r w:rsidRPr="00EF269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http://www.lumex.ru/equipment.php?id=28</w:t>
        </w:r>
      </w:hyperlink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бращения: 30.01.2013.</w:t>
      </w:r>
    </w:p>
    <w:p w:rsidR="009B04EB" w:rsidRPr="00EF269A" w:rsidRDefault="009B04EB" w:rsidP="009B04EB">
      <w:pPr>
        <w:numPr>
          <w:ilvl w:val="0"/>
          <w:numId w:val="6"/>
        </w:numPr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69A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Руднев С.Д., Киреев В.В., П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в Д.М.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БЕНН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СТИ 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РМАЦИ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ВЕДЕНИЯ БИ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ГИЧЕСКИХ ТКАНЕЙ //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временные наук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емкие техн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гии. – 2015. – № 3 . – С. 81-86;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URL: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hyperlink r:id="rId100" w:history="1">
        <w:r w:rsidRPr="00EF269A"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www.rae.ru/snt/?secti</w:t>
        </w:r>
        <w:r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n=c</w:t>
        </w:r>
        <w:r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ntent&amp;</w:t>
        </w:r>
        <w:r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p=sh</w:t>
        </w:r>
        <w:r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о</w:t>
        </w:r>
        <w:r w:rsidRPr="00EF269A">
          <w:rPr>
            <w:rFonts w:ascii="Times New Roman" w:eastAsia="Times New Roman" w:hAnsi="Times New Roman" w:cs="Times New Roman"/>
            <w:color w:val="003D88"/>
            <w:sz w:val="24"/>
            <w:szCs w:val="24"/>
          </w:rPr>
          <w:t>w_article&amp;article_id=10003540</w:t>
        </w:r>
      </w:hyperlink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(дата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EF26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бращения: 24.04.2015).</w:t>
      </w:r>
    </w:p>
    <w:p w:rsidR="009B04EB" w:rsidRDefault="009B04EB" w:rsidP="009B04EB"/>
    <w:p w:rsidR="00A16BA8" w:rsidRDefault="00A16BA8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04EB" w:rsidRPr="009B04EB" w:rsidRDefault="009B04EB" w:rsidP="009B04EB">
      <w:pPr>
        <w:spacing w:after="3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4E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tblpY="1"/>
        <w:tblOverlap w:val="never"/>
        <w:tblW w:w="0" w:type="auto"/>
        <w:tblLook w:val="0000"/>
      </w:tblPr>
      <w:tblGrid>
        <w:gridCol w:w="9018"/>
        <w:gridCol w:w="514"/>
      </w:tblGrid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АННОТАЦИЯ……………………………………………………………   ……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ВВЕДЕНИЕ……………………………………………………………………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9B04EB" w:rsidRPr="009B04EB" w:rsidTr="00765E86">
        <w:trPr>
          <w:trHeight w:val="682"/>
        </w:trPr>
        <w:tc>
          <w:tcPr>
            <w:tcW w:w="9018" w:type="dxa"/>
          </w:tcPr>
          <w:p w:rsidR="009B04EB" w:rsidRPr="009B04EB" w:rsidRDefault="009B04EB" w:rsidP="009B04EB">
            <w:pPr>
              <w:pStyle w:val="1"/>
              <w:ind w:firstLine="0"/>
            </w:pPr>
            <w:r w:rsidRPr="009B04EB">
              <w:t xml:space="preserve">1. СТРОЕНИЕ КОСТНОЙ ТКАНИ </w:t>
            </w:r>
          </w:p>
          <w:p w:rsidR="009B04EB" w:rsidRPr="009B04EB" w:rsidRDefault="009B04EB" w:rsidP="00765E86">
            <w:pPr>
              <w:pStyle w:val="1"/>
            </w:pPr>
            <w:r w:rsidRPr="009B04EB">
              <w:t xml:space="preserve">     И СВОЙСТВА ЕЕ ЛЮМИНЕСЦЕНЦИИ.................................................</w:t>
            </w:r>
          </w:p>
          <w:p w:rsidR="009B04EB" w:rsidRPr="009B04EB" w:rsidRDefault="009B04EB" w:rsidP="00765E86">
            <w:pPr>
              <w:ind w:left="1320" w:hanging="13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1.1. Общие сведения о костной ткани................................……….……</w:t>
            </w:r>
          </w:p>
          <w:p w:rsidR="009B04EB" w:rsidRPr="009B04EB" w:rsidRDefault="009B04EB" w:rsidP="00765E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1.2. Флуоресценция в костных тканях....................................................</w:t>
            </w:r>
          </w:p>
          <w:p w:rsidR="009B04EB" w:rsidRPr="009B04EB" w:rsidRDefault="009B04EB" w:rsidP="00765E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1.3. Фотолюминесценция коллагена.......................................................</w:t>
            </w:r>
          </w:p>
          <w:p w:rsidR="009B04EB" w:rsidRPr="009B04EB" w:rsidRDefault="009B04EB" w:rsidP="00765E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1.4. Методика определения степени сохранности коллагена...............</w:t>
            </w:r>
          </w:p>
          <w:p w:rsidR="009B04EB" w:rsidRPr="009B04EB" w:rsidRDefault="009B04EB" w:rsidP="00765E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1.5. Минерализация кости и возможные механизмы процесса............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B04EB" w:rsidRPr="009B04EB" w:rsidTr="00765E86">
        <w:trPr>
          <w:trHeight w:val="459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МЕТОДЫ ИССЛЕДОВАНИЯ ВРЕМЕННОЙ 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ДИНАМИКИ ЛЮМИНЕСЦЕНЦИИ</w:t>
            </w: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……………………….................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</w:tr>
      <w:tr w:rsidR="009B04EB" w:rsidRPr="009B04EB" w:rsidTr="00765E86">
        <w:trPr>
          <w:trHeight w:val="447"/>
        </w:trPr>
        <w:tc>
          <w:tcPr>
            <w:tcW w:w="9018" w:type="dxa"/>
          </w:tcPr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2.1.</w:t>
            </w:r>
            <w:r w:rsidRPr="009B04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Люминесценция и ее кинетика......................................</w:t>
            </w: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.....………..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2.2.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изучения кинетики люминесценции</w:t>
            </w: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……...……………..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2.3.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Методика исследования кинетики люминесценции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на </w:t>
            </w:r>
            <w:r w:rsidRPr="009B04E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спектрофлуориметре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Флюорат–02–Панорама</w:t>
            </w: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.…………….....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9B04EB" w:rsidRPr="009B04EB" w:rsidTr="00765E86">
        <w:trPr>
          <w:trHeight w:val="235"/>
        </w:trPr>
        <w:tc>
          <w:tcPr>
            <w:tcW w:w="9018" w:type="dxa"/>
          </w:tcPr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2.4. </w:t>
            </w: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Изменение свойств тканей биологического 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происхождения при изменении их влажности................................</w:t>
            </w: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</w:t>
            </w:r>
            <w:r w:rsidRPr="009B0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ВРЕМЕННОЙ ДИНАМИКИ 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     СПЕКТРАЛЬНЫХ ХАРАКТЕРИСТИК ЛЮМИНЕСЦЕНЦИИ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     ПРИ ИЗМЕНЕНИИ СТЕПЕНИ ГИДРАТАЦИИ</w:t>
            </w: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.…….............................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B04EB" w:rsidRPr="009B04EB" w:rsidTr="00765E86">
        <w:trPr>
          <w:trHeight w:val="459"/>
        </w:trPr>
        <w:tc>
          <w:tcPr>
            <w:tcW w:w="9018" w:type="dxa"/>
          </w:tcPr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3.1. Методика измерений……………......................................…...……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3.2. </w:t>
            </w:r>
            <w:r w:rsidRPr="009B0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Результаты измерений временной динамики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        спектральных характеристик люминесценции </w:t>
            </w:r>
          </w:p>
          <w:p w:rsidR="009B04EB" w:rsidRPr="009B04EB" w:rsidRDefault="009B04EB" w:rsidP="00765E86">
            <w:pPr>
              <w:ind w:left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 xml:space="preserve">        при изменении степени гидратации................................................</w:t>
            </w:r>
            <w:r w:rsidRPr="009B04EB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48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36</w:t>
            </w: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4EB" w:rsidRPr="009B04EB" w:rsidRDefault="009B04EB" w:rsidP="00765E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ПРИЛОЖЕНИЯ……………………………………………………………….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ЗАКЛЮЧЕНИЕ………………………………………………………………..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БИБЛИОГРАФИЧЕСКИЙ СПИСОК………………………………………..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</w:tr>
      <w:tr w:rsidR="009B04EB" w:rsidRPr="009B04EB" w:rsidTr="00765E86">
        <w:trPr>
          <w:trHeight w:val="223"/>
        </w:trPr>
        <w:tc>
          <w:tcPr>
            <w:tcW w:w="9018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СОДЕРЖАНИЕ……………………………………………………………….</w:t>
            </w:r>
          </w:p>
        </w:tc>
        <w:tc>
          <w:tcPr>
            <w:tcW w:w="514" w:type="dxa"/>
          </w:tcPr>
          <w:p w:rsidR="009B04EB" w:rsidRPr="009B04EB" w:rsidRDefault="009B04EB" w:rsidP="00765E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04EB">
              <w:rPr>
                <w:rFonts w:ascii="Times New Roman" w:hAnsi="Times New Roman" w:cs="Times New Roman"/>
                <w:bCs/>
                <w:sz w:val="28"/>
                <w:szCs w:val="28"/>
              </w:rPr>
              <w:t>64</w:t>
            </w:r>
          </w:p>
        </w:tc>
      </w:tr>
    </w:tbl>
    <w:p w:rsidR="009B04EB" w:rsidRPr="00B5465A" w:rsidRDefault="009B04EB" w:rsidP="009B04EB">
      <w:r w:rsidRPr="009B04EB">
        <w:rPr>
          <w:rFonts w:ascii="Times New Roman" w:hAnsi="Times New Roman" w:cs="Times New Roman"/>
        </w:rPr>
        <w:br w:type="textWrapping" w:clear="all"/>
      </w:r>
    </w:p>
    <w:p w:rsidR="009B04EB" w:rsidRPr="00A16BA8" w:rsidRDefault="009B04EB" w:rsidP="00A16B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9B04EB" w:rsidRPr="00A16BA8" w:rsidSect="001379D1">
      <w:pgSz w:w="11906" w:h="16838"/>
      <w:pgMar w:top="1418" w:right="567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B6CB6"/>
    <w:multiLevelType w:val="hybridMultilevel"/>
    <w:tmpl w:val="E0AA6FBC"/>
    <w:lvl w:ilvl="0" w:tplc="EDA68A2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9895347"/>
    <w:multiLevelType w:val="hybridMultilevel"/>
    <w:tmpl w:val="20746CC8"/>
    <w:lvl w:ilvl="0" w:tplc="5074D196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9347F7"/>
    <w:multiLevelType w:val="hybridMultilevel"/>
    <w:tmpl w:val="CD32AA06"/>
    <w:lvl w:ilvl="0" w:tplc="44EC6EE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6F370A0"/>
    <w:multiLevelType w:val="hybridMultilevel"/>
    <w:tmpl w:val="65DAEE16"/>
    <w:lvl w:ilvl="0" w:tplc="7BF85B2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46A"/>
    <w:multiLevelType w:val="hybridMultilevel"/>
    <w:tmpl w:val="253609E8"/>
    <w:lvl w:ilvl="0" w:tplc="904E74AA">
      <w:start w:val="1"/>
      <w:numFmt w:val="decimal"/>
      <w:lvlText w:val="%1."/>
      <w:lvlJc w:val="left"/>
      <w:pPr>
        <w:ind w:left="633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065A68"/>
    <w:multiLevelType w:val="multilevel"/>
    <w:tmpl w:val="2A34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F76FE8"/>
    <w:multiLevelType w:val="multilevel"/>
    <w:tmpl w:val="EF50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F4403"/>
    <w:multiLevelType w:val="hybridMultilevel"/>
    <w:tmpl w:val="C6A09D90"/>
    <w:lvl w:ilvl="0" w:tplc="5074D196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A8C5622"/>
    <w:multiLevelType w:val="multilevel"/>
    <w:tmpl w:val="A5DC7F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49B866C4"/>
    <w:multiLevelType w:val="multilevel"/>
    <w:tmpl w:val="96AC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7E18C5"/>
    <w:multiLevelType w:val="multilevel"/>
    <w:tmpl w:val="79787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5451249"/>
    <w:multiLevelType w:val="multilevel"/>
    <w:tmpl w:val="210C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1112EB"/>
    <w:multiLevelType w:val="hybridMultilevel"/>
    <w:tmpl w:val="601EB5DA"/>
    <w:lvl w:ilvl="0" w:tplc="F4923D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3356B"/>
    <w:multiLevelType w:val="multilevel"/>
    <w:tmpl w:val="EDBC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8"/>
  </w:num>
  <w:num w:numId="10">
    <w:abstractNumId w:val="12"/>
  </w:num>
  <w:num w:numId="11">
    <w:abstractNumId w:val="3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79D1"/>
    <w:rsid w:val="001379D1"/>
    <w:rsid w:val="00167186"/>
    <w:rsid w:val="004E3425"/>
    <w:rsid w:val="007A709D"/>
    <w:rsid w:val="009B04EB"/>
    <w:rsid w:val="00A16BA8"/>
    <w:rsid w:val="00F6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86"/>
  </w:style>
  <w:style w:type="paragraph" w:styleId="1">
    <w:name w:val="heading 1"/>
    <w:basedOn w:val="a0"/>
    <w:next w:val="a"/>
    <w:link w:val="10"/>
    <w:qFormat/>
    <w:rsid w:val="00A16BA8"/>
    <w:pPr>
      <w:spacing w:before="360" w:after="240"/>
      <w:ind w:firstLine="709"/>
      <w:jc w:val="center"/>
      <w:outlineLvl w:val="0"/>
    </w:pPr>
    <w:rPr>
      <w:b/>
    </w:rPr>
  </w:style>
  <w:style w:type="paragraph" w:styleId="2">
    <w:name w:val="heading 2"/>
    <w:basedOn w:val="a0"/>
    <w:next w:val="a"/>
    <w:link w:val="20"/>
    <w:uiPriority w:val="99"/>
    <w:qFormat/>
    <w:rsid w:val="00A16BA8"/>
    <w:pPr>
      <w:spacing w:before="360" w:after="240"/>
      <w:ind w:firstLine="709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A16BA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16BA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A16BA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A16BA8"/>
    <w:rPr>
      <w:rFonts w:ascii="Calibri" w:eastAsia="Times New Roman" w:hAnsi="Calibri" w:cs="Times New Roman"/>
      <w:lang w:eastAsia="en-US"/>
    </w:rPr>
  </w:style>
  <w:style w:type="paragraph" w:styleId="a6">
    <w:name w:val="List Paragraph"/>
    <w:basedOn w:val="a"/>
    <w:uiPriority w:val="99"/>
    <w:qFormat/>
    <w:rsid w:val="00A16BA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">
    <w:name w:val="Style4"/>
    <w:basedOn w:val="a"/>
    <w:uiPriority w:val="99"/>
    <w:rsid w:val="00A16BA8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1"/>
    <w:uiPriority w:val="99"/>
    <w:rsid w:val="00A16BA8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1"/>
    <w:link w:val="1"/>
    <w:rsid w:val="00A16BA8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A16BA8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a0">
    <w:name w:val="Normal (Web)"/>
    <w:basedOn w:val="a"/>
    <w:uiPriority w:val="99"/>
    <w:rsid w:val="00A16BA8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7">
    <w:name w:val="Emphasis"/>
    <w:basedOn w:val="a1"/>
    <w:uiPriority w:val="99"/>
    <w:qFormat/>
    <w:rsid w:val="00A16BA8"/>
    <w:rPr>
      <w:rFonts w:cs="Times New Roman"/>
      <w:i/>
      <w:iCs/>
    </w:rPr>
  </w:style>
  <w:style w:type="paragraph" w:styleId="a8">
    <w:name w:val="Body Text Indent"/>
    <w:basedOn w:val="a"/>
    <w:link w:val="a9"/>
    <w:uiPriority w:val="99"/>
    <w:rsid w:val="00A16BA8"/>
    <w:pPr>
      <w:spacing w:after="120" w:line="360" w:lineRule="auto"/>
      <w:ind w:left="283"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9">
    <w:name w:val="Основной текст с отступом Знак"/>
    <w:basedOn w:val="a1"/>
    <w:link w:val="a8"/>
    <w:uiPriority w:val="99"/>
    <w:rsid w:val="00A16BA8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a">
    <w:name w:val="Рисунок"/>
    <w:basedOn w:val="a"/>
    <w:qFormat/>
    <w:rsid w:val="00A16BA8"/>
    <w:pPr>
      <w:spacing w:after="0" w:line="240" w:lineRule="auto"/>
      <w:ind w:firstLine="567"/>
      <w:jc w:val="center"/>
    </w:pPr>
    <w:rPr>
      <w:rFonts w:ascii="Times New Roman" w:eastAsia="Calibri" w:hAnsi="Times New Roman" w:cs="Times New Roman"/>
      <w:noProof/>
      <w:color w:val="000000"/>
      <w:sz w:val="24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A1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A16BA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9"/>
    <w:rsid w:val="00A16BA8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A16BA8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d">
    <w:name w:val="Hyperlink"/>
    <w:basedOn w:val="a1"/>
    <w:uiPriority w:val="99"/>
    <w:rsid w:val="00A16BA8"/>
    <w:rPr>
      <w:rFonts w:cs="Times New Roman"/>
      <w:color w:val="003399"/>
      <w:u w:val="none"/>
      <w:effect w:val="none"/>
    </w:rPr>
  </w:style>
  <w:style w:type="character" w:customStyle="1" w:styleId="accented">
    <w:name w:val="accented"/>
    <w:basedOn w:val="a1"/>
    <w:uiPriority w:val="99"/>
    <w:rsid w:val="00A16BA8"/>
  </w:style>
  <w:style w:type="character" w:customStyle="1" w:styleId="apple-converted-space">
    <w:name w:val="apple-converted-space"/>
    <w:basedOn w:val="a1"/>
    <w:rsid w:val="00A16BA8"/>
    <w:rPr>
      <w:rFonts w:cs="Times New Roman"/>
    </w:rPr>
  </w:style>
  <w:style w:type="character" w:customStyle="1" w:styleId="apple-style-span">
    <w:name w:val="apple-style-span"/>
    <w:basedOn w:val="a1"/>
    <w:rsid w:val="00A16BA8"/>
  </w:style>
  <w:style w:type="character" w:customStyle="1" w:styleId="mymarkfind">
    <w:name w:val="my_mark_find"/>
    <w:basedOn w:val="a1"/>
    <w:rsid w:val="00A16BA8"/>
    <w:rPr>
      <w:rFonts w:cs="Times New Roman"/>
    </w:rPr>
  </w:style>
  <w:style w:type="character" w:styleId="ae">
    <w:name w:val="Strong"/>
    <w:uiPriority w:val="22"/>
    <w:qFormat/>
    <w:rsid w:val="00A16BA8"/>
    <w:rPr>
      <w:b/>
      <w:bCs/>
    </w:rPr>
  </w:style>
  <w:style w:type="table" w:styleId="af">
    <w:name w:val="Table Grid"/>
    <w:basedOn w:val="a2"/>
    <w:uiPriority w:val="59"/>
    <w:rsid w:val="00A16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">
    <w:name w:val="fn"/>
    <w:basedOn w:val="a1"/>
    <w:uiPriority w:val="99"/>
    <w:rsid w:val="00A16BA8"/>
    <w:rPr>
      <w:rFonts w:cs="Times New Roman"/>
    </w:rPr>
  </w:style>
  <w:style w:type="paragraph" w:styleId="af0">
    <w:name w:val="Document Map"/>
    <w:basedOn w:val="a"/>
    <w:link w:val="af1"/>
    <w:uiPriority w:val="99"/>
    <w:semiHidden/>
    <w:unhideWhenUsed/>
    <w:rsid w:val="00A16BA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1">
    <w:name w:val="Схема документа Знак"/>
    <w:basedOn w:val="a1"/>
    <w:link w:val="af0"/>
    <w:uiPriority w:val="99"/>
    <w:semiHidden/>
    <w:rsid w:val="00A16BA8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1">
    <w:name w:val="Стиль1"/>
    <w:basedOn w:val="a"/>
    <w:qFormat/>
    <w:rsid w:val="00A16BA8"/>
    <w:pPr>
      <w:spacing w:after="0" w:line="355" w:lineRule="auto"/>
      <w:ind w:firstLine="567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p22">
    <w:name w:val="p22"/>
    <w:basedOn w:val="a"/>
    <w:rsid w:val="00A16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4">
    <w:name w:val="s24"/>
    <w:basedOn w:val="a1"/>
    <w:rsid w:val="00A16BA8"/>
  </w:style>
  <w:style w:type="numbering" w:customStyle="1" w:styleId="12">
    <w:name w:val="Нет списка1"/>
    <w:next w:val="a3"/>
    <w:uiPriority w:val="99"/>
    <w:semiHidden/>
    <w:unhideWhenUsed/>
    <w:rsid w:val="00A16BA8"/>
  </w:style>
  <w:style w:type="paragraph" w:styleId="af2">
    <w:name w:val="footer"/>
    <w:basedOn w:val="a"/>
    <w:link w:val="af3"/>
    <w:uiPriority w:val="99"/>
    <w:unhideWhenUsed/>
    <w:rsid w:val="00A16BA8"/>
    <w:pPr>
      <w:tabs>
        <w:tab w:val="center" w:pos="4677"/>
        <w:tab w:val="right" w:pos="9355"/>
      </w:tabs>
      <w:spacing w:after="0" w:line="360" w:lineRule="auto"/>
      <w:ind w:firstLine="567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A16BA8"/>
    <w:rPr>
      <w:rFonts w:ascii="Times New Roman" w:eastAsia="Calibri" w:hAnsi="Times New Roman" w:cs="Times New Roman"/>
      <w:color w:val="000000"/>
      <w:sz w:val="28"/>
      <w:szCs w:val="28"/>
      <w:lang w:eastAsia="en-US"/>
    </w:rPr>
  </w:style>
  <w:style w:type="paragraph" w:customStyle="1" w:styleId="af4">
    <w:name w:val="СписокЛитературы"/>
    <w:basedOn w:val="a0"/>
    <w:qFormat/>
    <w:rsid w:val="00A16BA8"/>
    <w:rPr>
      <w:b/>
      <w:sz w:val="24"/>
    </w:rPr>
  </w:style>
  <w:style w:type="paragraph" w:customStyle="1" w:styleId="af5">
    <w:name w:val="Нумерация"/>
    <w:basedOn w:val="a4"/>
    <w:qFormat/>
    <w:rsid w:val="00A16BA8"/>
    <w:pPr>
      <w:widowControl w:val="0"/>
      <w:spacing w:line="360" w:lineRule="auto"/>
      <w:ind w:firstLine="567"/>
      <w:contextualSpacing/>
      <w:jc w:val="center"/>
    </w:pPr>
    <w:rPr>
      <w:rFonts w:ascii="Times New Roman" w:eastAsia="Calibri" w:hAnsi="Times New Roman"/>
      <w:color w:val="000000"/>
      <w:sz w:val="28"/>
      <w:szCs w:val="28"/>
    </w:rPr>
  </w:style>
  <w:style w:type="paragraph" w:customStyle="1" w:styleId="af6">
    <w:name w:val="таблица"/>
    <w:basedOn w:val="a"/>
    <w:qFormat/>
    <w:rsid w:val="00A16BA8"/>
    <w:pPr>
      <w:spacing w:after="0" w:line="240" w:lineRule="auto"/>
      <w:ind w:firstLine="567"/>
      <w:contextualSpacing/>
      <w:jc w:val="both"/>
      <w:textAlignment w:val="center"/>
    </w:pPr>
    <w:rPr>
      <w:rFonts w:ascii="Times New Roman" w:hAnsi="Times New Roman" w:cs="Times New Roman"/>
      <w:color w:val="000000"/>
      <w:position w:val="-16"/>
      <w:sz w:val="24"/>
      <w:szCs w:val="28"/>
      <w:lang w:eastAsia="en-US"/>
    </w:rPr>
  </w:style>
  <w:style w:type="character" w:styleId="af7">
    <w:name w:val="Placeholder Text"/>
    <w:basedOn w:val="a1"/>
    <w:uiPriority w:val="99"/>
    <w:semiHidden/>
    <w:rsid w:val="00A16BA8"/>
    <w:rPr>
      <w:color w:val="808080"/>
    </w:rPr>
  </w:style>
  <w:style w:type="paragraph" w:customStyle="1" w:styleId="af8">
    <w:name w:val="Главы"/>
    <w:basedOn w:val="af9"/>
    <w:link w:val="afa"/>
    <w:qFormat/>
    <w:rsid w:val="00A16BA8"/>
    <w:pPr>
      <w:widowControl w:val="0"/>
      <w:spacing w:before="240" w:after="360"/>
      <w:ind w:firstLine="567"/>
      <w:contextualSpacing/>
      <w:jc w:val="center"/>
      <w:outlineLvl w:val="0"/>
    </w:pPr>
    <w:rPr>
      <w:rFonts w:ascii="Times New Roman" w:eastAsia="MS Mincho" w:hAnsi="Times New Roman" w:cs="Times New Roman"/>
      <w:b/>
      <w:sz w:val="28"/>
      <w:szCs w:val="24"/>
    </w:rPr>
  </w:style>
  <w:style w:type="character" w:customStyle="1" w:styleId="afa">
    <w:name w:val="Главы Знак"/>
    <w:basedOn w:val="afb"/>
    <w:link w:val="af8"/>
    <w:rsid w:val="00A16BA8"/>
    <w:rPr>
      <w:rFonts w:ascii="Times New Roman" w:eastAsia="MS Mincho" w:hAnsi="Times New Roman" w:cs="Times New Roman"/>
      <w:b/>
      <w:sz w:val="28"/>
      <w:szCs w:val="24"/>
    </w:rPr>
  </w:style>
  <w:style w:type="paragraph" w:styleId="af9">
    <w:name w:val="Plain Text"/>
    <w:basedOn w:val="a"/>
    <w:link w:val="afb"/>
    <w:uiPriority w:val="99"/>
    <w:semiHidden/>
    <w:unhideWhenUsed/>
    <w:rsid w:val="00A16BA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b">
    <w:name w:val="Текст Знак"/>
    <w:basedOn w:val="a1"/>
    <w:link w:val="af9"/>
    <w:uiPriority w:val="99"/>
    <w:semiHidden/>
    <w:rsid w:val="00A16BA8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4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4%D1%80%D0%B5%D0%B2%D0%BD%D0%B5%D0%B3%D1%80%D0%B5%D1%87%D0%B5%D1%81%D0%BA%D0%B8%D0%B9_%D1%8F%D0%B7%D1%8B%D0%BA" TargetMode="External"/><Relationship Id="rId21" Type="http://schemas.openxmlformats.org/officeDocument/2006/relationships/hyperlink" Target="http://ru.wikipedia.org/wiki/%D0%90%D0%BD%D1%82%D1%80%D0%B0%D1%86%D0%B5%D0%BD" TargetMode="External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8.bin"/><Relationship Id="rId50" Type="http://schemas.openxmlformats.org/officeDocument/2006/relationships/image" Target="media/image21.wmf"/><Relationship Id="rId55" Type="http://schemas.openxmlformats.org/officeDocument/2006/relationships/oleObject" Target="embeddings/oleObject12.bin"/><Relationship Id="rId63" Type="http://schemas.openxmlformats.org/officeDocument/2006/relationships/image" Target="media/image27.wmf"/><Relationship Id="rId68" Type="http://schemas.openxmlformats.org/officeDocument/2006/relationships/oleObject" Target="embeddings/oleObject19.bin"/><Relationship Id="rId76" Type="http://schemas.openxmlformats.org/officeDocument/2006/relationships/oleObject" Target="embeddings/oleObject23.bin"/><Relationship Id="rId84" Type="http://schemas.openxmlformats.org/officeDocument/2006/relationships/image" Target="media/image39.jpeg"/><Relationship Id="rId89" Type="http://schemas.openxmlformats.org/officeDocument/2006/relationships/hyperlink" Target="https://docviewer.yandex.ru/r.xml?sk=02650b380abc2673c73130c5edb759c5&amp;url=http%3A%2F%2Fwww.femto.com.ua%2Farticles%2Fpart_2%2F4020.html" TargetMode="External"/><Relationship Id="rId97" Type="http://schemas.openxmlformats.org/officeDocument/2006/relationships/hyperlink" Target="https://docviewer.yandex.ru/r.xml?sk=02650b380abc2673c73130c5edb759c5&amp;url=http%3A%2F%2Fwww.femto.com.ua%2Farticles%2Fpart_2%2F4020.html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31.wmf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hyperlink" Target="http://www.femto.com.ua/articles/part_2/3318.html" TargetMode="External"/><Relationship Id="rId29" Type="http://schemas.openxmlformats.org/officeDocument/2006/relationships/hyperlink" Target="http://ru.wikipedia.org/wiki/%D0%94%D0%B8%D1%81%D0%BA%D1%80%D0%B5%D1%82%D0%BD%D0%BE%D1%81%D1%82%D1%8C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ru.wikipedia.org/wiki/%D0%A2%D0%B8%D1%82%D1%80%D0%B8%D0%BC%D0%B5%D1%82%D1%80%D0%B8%D1%8F" TargetMode="External"/><Relationship Id="rId32" Type="http://schemas.openxmlformats.org/officeDocument/2006/relationships/image" Target="media/image12.wmf"/><Relationship Id="rId37" Type="http://schemas.openxmlformats.org/officeDocument/2006/relationships/oleObject" Target="embeddings/oleObject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2.bin"/><Relationship Id="rId79" Type="http://schemas.openxmlformats.org/officeDocument/2006/relationships/image" Target="media/image36.wmf"/><Relationship Id="rId87" Type="http://schemas.openxmlformats.org/officeDocument/2006/relationships/image" Target="media/image42.jpe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6.wmf"/><Relationship Id="rId82" Type="http://schemas.openxmlformats.org/officeDocument/2006/relationships/oleObject" Target="embeddings/oleObject25.bin"/><Relationship Id="rId90" Type="http://schemas.openxmlformats.org/officeDocument/2006/relationships/image" Target="media/image44.png"/><Relationship Id="rId95" Type="http://schemas.openxmlformats.org/officeDocument/2006/relationships/image" Target="media/image49.png"/><Relationship Id="rId19" Type="http://schemas.openxmlformats.org/officeDocument/2006/relationships/hyperlink" Target="http://www.femto.com.ua/articles/part_2/4365.html" TargetMode="External"/><Relationship Id="rId14" Type="http://schemas.openxmlformats.org/officeDocument/2006/relationships/image" Target="media/image10.png"/><Relationship Id="rId22" Type="http://schemas.openxmlformats.org/officeDocument/2006/relationships/hyperlink" Target="http://ru.wikipedia.org/wiki/%D0%9D%D0%B0%D1%84%D1%82%D0%B0%D0%BB%D0%B8%D0%BD" TargetMode="External"/><Relationship Id="rId27" Type="http://schemas.openxmlformats.org/officeDocument/2006/relationships/hyperlink" Target="http://ru.wikipedia.org/wiki/%D0%92%D0%B5%D1%89%D0%B5%D1%81%D1%82%D0%B2%D0%BE" TargetMode="External"/><Relationship Id="rId30" Type="http://schemas.openxmlformats.org/officeDocument/2006/relationships/hyperlink" Target="http://ru.wikipedia.org/wiki/%D0%A5-%D0%BB%D1%83%D1%87%D0%B8" TargetMode="External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oleObject" Target="embeddings/oleObject17.bin"/><Relationship Id="rId69" Type="http://schemas.openxmlformats.org/officeDocument/2006/relationships/image" Target="media/image30.wmf"/><Relationship Id="rId77" Type="http://schemas.openxmlformats.org/officeDocument/2006/relationships/image" Target="media/image34.png"/><Relationship Id="rId100" Type="http://schemas.openxmlformats.org/officeDocument/2006/relationships/hyperlink" Target="http://www.rae.ru/snt/?section=content&amp;op=show_article&amp;article_id=10003540" TargetMode="External"/><Relationship Id="rId8" Type="http://schemas.openxmlformats.org/officeDocument/2006/relationships/image" Target="media/image4.png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21.bin"/><Relationship Id="rId80" Type="http://schemas.openxmlformats.org/officeDocument/2006/relationships/oleObject" Target="embeddings/oleObject24.bin"/><Relationship Id="rId85" Type="http://schemas.openxmlformats.org/officeDocument/2006/relationships/image" Target="media/image40.jpeg"/><Relationship Id="rId93" Type="http://schemas.openxmlformats.org/officeDocument/2006/relationships/image" Target="media/image47.png"/><Relationship Id="rId98" Type="http://schemas.openxmlformats.org/officeDocument/2006/relationships/hyperlink" Target="http://www..smolensk.ru/user/sgma/MMORPH/N-1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femto.com.ua/articles/part_1/1665.html" TargetMode="External"/><Relationship Id="rId25" Type="http://schemas.openxmlformats.org/officeDocument/2006/relationships/hyperlink" Target="http://ru.wikipedia.org/wiki/%D0%9B%D0%B0%D1%82%D0%B8%D0%BD%D1%81%D0%BA%D0%B8%D0%B9_%D1%8F%D0%B7%D1%8B%D0%BA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hyperlink" Target="http://ru.wikipedia.org/wiki/%D0%AD%D0%BB%D0%B5%D0%BA%D1%82%D1%80%D0%BE%D0%BD" TargetMode="External"/><Relationship Id="rId41" Type="http://schemas.openxmlformats.org/officeDocument/2006/relationships/oleObject" Target="embeddings/oleObject5.bin"/><Relationship Id="rId54" Type="http://schemas.openxmlformats.org/officeDocument/2006/relationships/image" Target="media/image23.wmf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33.wmf"/><Relationship Id="rId83" Type="http://schemas.openxmlformats.org/officeDocument/2006/relationships/image" Target="media/image38.png"/><Relationship Id="rId88" Type="http://schemas.openxmlformats.org/officeDocument/2006/relationships/image" Target="media/image43.jpeg"/><Relationship Id="rId91" Type="http://schemas.openxmlformats.org/officeDocument/2006/relationships/image" Target="media/image45.png"/><Relationship Id="rId9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://www.femto.com.ua/articles/part_2/4020.html" TargetMode="External"/><Relationship Id="rId23" Type="http://schemas.openxmlformats.org/officeDocument/2006/relationships/hyperlink" Target="http://ru.wikipedia.org/wiki/%D0%91%D0%B5%D0%BB%D0%BA%D0%B8" TargetMode="External"/><Relationship Id="rId28" Type="http://schemas.openxmlformats.org/officeDocument/2006/relationships/hyperlink" Target="http://ru.wikipedia.org/wiki/%D0%A1%D0%BF%D0%B5%D0%BA%D1%82%D1%80" TargetMode="External"/><Relationship Id="rId36" Type="http://schemas.openxmlformats.org/officeDocument/2006/relationships/image" Target="media/image14.wmf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" Type="http://schemas.openxmlformats.org/officeDocument/2006/relationships/image" Target="media/image6.png"/><Relationship Id="rId31" Type="http://schemas.openxmlformats.org/officeDocument/2006/relationships/image" Target="media/image11.jpeg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oleObject" Target="embeddings/oleObject15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image" Target="media/image35.png"/><Relationship Id="rId81" Type="http://schemas.openxmlformats.org/officeDocument/2006/relationships/image" Target="media/image37.wmf"/><Relationship Id="rId86" Type="http://schemas.openxmlformats.org/officeDocument/2006/relationships/image" Target="media/image41.jpeg"/><Relationship Id="rId94" Type="http://schemas.openxmlformats.org/officeDocument/2006/relationships/image" Target="media/image48.png"/><Relationship Id="rId99" Type="http://schemas.openxmlformats.org/officeDocument/2006/relationships/hyperlink" Target="http://www.lumex.ru/equipment.php?id=28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://www.femto.com.ua/articles/part_2/3001.html" TargetMode="External"/><Relationship Id="rId3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13855</Words>
  <Characters>78980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2015-06-22T06:13:00Z</dcterms:created>
  <dcterms:modified xsi:type="dcterms:W3CDTF">2015-06-22T06:13:00Z</dcterms:modified>
</cp:coreProperties>
</file>