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1F224" w14:textId="17A99CD5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bookmarkStart w:id="0" w:name="_GoBack"/>
      <w:bookmarkEnd w:id="0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УДК</w:t>
      </w:r>
      <w:r w:rsidR="005D250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1(091)</w:t>
      </w:r>
      <w:r w:rsidR="00857E7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</w:p>
    <w:p w14:paraId="1B831836" w14:textId="5CD24D1D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14:paraId="0F448DE3" w14:textId="5557F7EB" w:rsidR="0072058D" w:rsidRPr="0072058D" w:rsidRDefault="0072058D" w:rsidP="00857E7D">
      <w:pPr>
        <w:spacing w:after="0" w:line="240" w:lineRule="auto"/>
        <w:jc w:val="center"/>
        <w:rPr>
          <w:rFonts w:ascii="Times New Roman" w:eastAsia="Arial" w:hAnsi="Times New Roman"/>
          <w:b/>
          <w:caps/>
          <w:sz w:val="28"/>
          <w:szCs w:val="28"/>
          <w:lang w:val="ru" w:eastAsia="ru-RU"/>
        </w:rPr>
      </w:pPr>
      <w:r w:rsidRPr="0072058D">
        <w:rPr>
          <w:rFonts w:ascii="Times New Roman" w:eastAsia="Arial" w:hAnsi="Times New Roman"/>
          <w:b/>
          <w:caps/>
          <w:sz w:val="28"/>
          <w:szCs w:val="28"/>
          <w:lang w:val="ru" w:eastAsia="ru-RU"/>
        </w:rPr>
        <w:t>Статус наскальной живописи в рамках культурогенеза</w:t>
      </w:r>
    </w:p>
    <w:p w14:paraId="5403EEC4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val="ru" w:eastAsia="ru-RU"/>
        </w:rPr>
      </w:pPr>
    </w:p>
    <w:p w14:paraId="5BD49B4D" w14:textId="150B19F4" w:rsidR="0072058D" w:rsidRPr="0072058D" w:rsidRDefault="00857E7D" w:rsidP="00857E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©2019 г. </w:t>
      </w:r>
      <w:r w:rsidR="0072058D" w:rsidRPr="0072058D">
        <w:rPr>
          <w:rFonts w:ascii="Times New Roman" w:eastAsia="Times New Roman" w:hAnsi="Times New Roman"/>
          <w:b/>
          <w:sz w:val="24"/>
          <w:szCs w:val="24"/>
          <w:lang w:val="ru" w:eastAsia="ru-RU"/>
        </w:rPr>
        <w:t>Глотов А</w:t>
      </w:r>
      <w:r w:rsidRPr="00857E7D">
        <w:rPr>
          <w:rFonts w:ascii="Times New Roman" w:eastAsia="Times New Roman" w:hAnsi="Times New Roman"/>
          <w:b/>
          <w:sz w:val="24"/>
          <w:szCs w:val="24"/>
          <w:lang w:val="ru" w:eastAsia="ru-RU"/>
        </w:rPr>
        <w:t>.</w:t>
      </w:r>
      <w:r w:rsidR="0072058D" w:rsidRPr="0072058D"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 В</w:t>
      </w:r>
      <w:r w:rsidRPr="00857E7D">
        <w:rPr>
          <w:rFonts w:ascii="Times New Roman" w:eastAsia="Times New Roman" w:hAnsi="Times New Roman"/>
          <w:b/>
          <w:sz w:val="24"/>
          <w:szCs w:val="24"/>
          <w:lang w:val="ru" w:eastAsia="ru-RU"/>
        </w:rPr>
        <w:t>.</w:t>
      </w:r>
    </w:p>
    <w:p w14:paraId="0656B969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14:paraId="27EA810E" w14:textId="77777777" w:rsidR="005D250D" w:rsidRPr="005D250D" w:rsidRDefault="005D250D" w:rsidP="005D2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highlight w:val="white"/>
          <w:lang w:val="ru" w:eastAsia="ru-RU"/>
        </w:rPr>
      </w:pPr>
      <w:r w:rsidRPr="005D250D">
        <w:rPr>
          <w:rFonts w:ascii="Times New Roman" w:eastAsia="Times New Roman" w:hAnsi="Times New Roman"/>
          <w:i/>
          <w:iCs/>
          <w:sz w:val="28"/>
          <w:szCs w:val="28"/>
          <w:highlight w:val="white"/>
          <w:lang w:val="ru" w:eastAsia="ru-RU"/>
        </w:rPr>
        <w:t>Работа посвящена в</w:t>
      </w:r>
      <w:r w:rsidRPr="0072058D">
        <w:rPr>
          <w:rFonts w:ascii="Times New Roman" w:eastAsia="Times New Roman" w:hAnsi="Times New Roman"/>
          <w:i/>
          <w:iCs/>
          <w:sz w:val="28"/>
          <w:szCs w:val="28"/>
          <w:highlight w:val="white"/>
          <w:lang w:val="ru" w:eastAsia="ru-RU"/>
        </w:rPr>
        <w:t>опрос</w:t>
      </w:r>
      <w:r w:rsidRPr="005D250D">
        <w:rPr>
          <w:rFonts w:ascii="Times New Roman" w:eastAsia="Times New Roman" w:hAnsi="Times New Roman"/>
          <w:i/>
          <w:iCs/>
          <w:sz w:val="28"/>
          <w:szCs w:val="28"/>
          <w:highlight w:val="white"/>
          <w:lang w:val="ru" w:eastAsia="ru-RU"/>
        </w:rPr>
        <w:t>у:</w:t>
      </w:r>
      <w:r w:rsidRPr="0072058D">
        <w:rPr>
          <w:rFonts w:ascii="Times New Roman" w:eastAsia="Times New Roman" w:hAnsi="Times New Roman"/>
          <w:i/>
          <w:iCs/>
          <w:sz w:val="28"/>
          <w:szCs w:val="28"/>
          <w:highlight w:val="white"/>
          <w:lang w:val="ru" w:eastAsia="ru-RU"/>
        </w:rPr>
        <w:t xml:space="preserve"> в каком смысле возможно рассматривать археологическое наследие эпохи верхнего палеолита под современной рубрикой “искусство”, является одним из узловых для комплекса специализирующихся на первичном культурогенезе антропологических дисциплин. В более специальной форме он звучит как вопрос о мотивациях и причинах художественно-производственных актов, лежащих в основании деятельности палеолитического человека, приведших к появлению произведений “первобытного искусства”.</w:t>
      </w:r>
    </w:p>
    <w:p w14:paraId="71490A65" w14:textId="0416F886" w:rsidR="005D250D" w:rsidRDefault="005D250D" w:rsidP="005D2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5D250D">
        <w:rPr>
          <w:rFonts w:ascii="Times New Roman" w:eastAsia="Times New Roman" w:hAnsi="Times New Roman"/>
          <w:b/>
          <w:bCs/>
          <w:i/>
          <w:iCs/>
          <w:sz w:val="28"/>
          <w:szCs w:val="28"/>
          <w:highlight w:val="white"/>
          <w:lang w:val="ru" w:eastAsia="ru-RU"/>
        </w:rPr>
        <w:t>Ключевые слова</w:t>
      </w:r>
      <w:r w:rsidRPr="005D250D">
        <w:rPr>
          <w:rFonts w:ascii="Times New Roman" w:eastAsia="Times New Roman" w:hAnsi="Times New Roman"/>
          <w:i/>
          <w:iCs/>
          <w:sz w:val="28"/>
          <w:szCs w:val="28"/>
          <w:highlight w:val="white"/>
          <w:lang w:val="ru" w:eastAsia="ru-RU"/>
        </w:rPr>
        <w:t>: наскальная живопись, искусство, археологическое наследие, антропология, культурогенез.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</w:t>
      </w:r>
    </w:p>
    <w:p w14:paraId="12FAFB4D" w14:textId="41876C26" w:rsidR="005D250D" w:rsidRDefault="005D250D" w:rsidP="00857E7D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highlight w:val="white"/>
          <w:lang w:val="ru" w:eastAsia="ru-RU"/>
        </w:rPr>
      </w:pPr>
    </w:p>
    <w:p w14:paraId="4EFC07A6" w14:textId="79A6E70E" w:rsidR="0072058D" w:rsidRDefault="0072058D" w:rsidP="00857E7D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Arial" w:hAnsi="Times New Roman"/>
          <w:b/>
          <w:sz w:val="28"/>
          <w:szCs w:val="28"/>
          <w:highlight w:val="white"/>
          <w:lang w:val="ru" w:eastAsia="ru-RU"/>
        </w:rPr>
        <w:t>ВВЕДЕНИЕ</w:t>
      </w:r>
    </w:p>
    <w:p w14:paraId="23E4E75E" w14:textId="77777777" w:rsidR="00857E7D" w:rsidRPr="0072058D" w:rsidRDefault="00857E7D" w:rsidP="00857E7D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highlight w:val="white"/>
          <w:lang w:val="ru" w:eastAsia="ru-RU"/>
        </w:rPr>
      </w:pPr>
    </w:p>
    <w:p w14:paraId="35BE4572" w14:textId="03061AA3" w:rsidR="0072058D" w:rsidRPr="0072058D" w:rsidRDefault="0072058D" w:rsidP="00857E7D">
      <w:pPr>
        <w:spacing w:after="0" w:line="240" w:lineRule="auto"/>
        <w:jc w:val="right"/>
        <w:rPr>
          <w:rFonts w:ascii="Times New Roman" w:eastAsia="Arial" w:hAnsi="Times New Roman"/>
          <w:i/>
          <w:sz w:val="28"/>
          <w:szCs w:val="28"/>
          <w:lang w:val="ru" w:eastAsia="ru-RU"/>
        </w:rPr>
      </w:pPr>
      <w:proofErr w:type="spellStart"/>
      <w:r w:rsidRPr="0072058D">
        <w:rPr>
          <w:rFonts w:ascii="Times New Roman" w:eastAsia="Arial" w:hAnsi="Times New Roman"/>
          <w:i/>
          <w:sz w:val="28"/>
          <w:szCs w:val="28"/>
          <w:lang w:val="ru" w:eastAsia="ru-RU"/>
        </w:rPr>
        <w:t>Айстета</w:t>
      </w:r>
      <w:proofErr w:type="spellEnd"/>
      <w:r w:rsidRPr="0072058D">
        <w:rPr>
          <w:rFonts w:ascii="Times New Roman" w:eastAsia="Arial" w:hAnsi="Times New Roman"/>
          <w:i/>
          <w:sz w:val="28"/>
          <w:szCs w:val="28"/>
          <w:lang w:val="ru" w:eastAsia="ru-RU"/>
        </w:rPr>
        <w:t xml:space="preserve"> являются для души тем же, чем животные из Ласко для изображающего их человека. Он живет, ими кормясь, без них он гибнет. Но стенописец </w:t>
      </w:r>
      <w:r w:rsidR="00857E7D">
        <w:rPr>
          <w:rFonts w:ascii="Times New Roman" w:eastAsia="Arial" w:hAnsi="Times New Roman"/>
          <w:i/>
          <w:sz w:val="28"/>
          <w:szCs w:val="28"/>
          <w:lang w:val="ru" w:eastAsia="ru-RU"/>
        </w:rPr>
        <w:t>–</w:t>
      </w:r>
      <w:r w:rsidRPr="0072058D">
        <w:rPr>
          <w:rFonts w:ascii="Times New Roman" w:eastAsia="Arial" w:hAnsi="Times New Roman"/>
          <w:i/>
          <w:sz w:val="28"/>
          <w:szCs w:val="28"/>
          <w:lang w:val="ru" w:eastAsia="ru-RU"/>
        </w:rPr>
        <w:t xml:space="preserve"> не тот человек, что питается плотью. И не его вкушающий краски глаз. Он</w:t>
      </w:r>
      <w:r w:rsidR="00857E7D">
        <w:rPr>
          <w:rFonts w:ascii="Times New Roman" w:eastAsia="Arial" w:hAnsi="Times New Roman"/>
          <w:i/>
          <w:sz w:val="28"/>
          <w:szCs w:val="28"/>
          <w:lang w:val="ru" w:eastAsia="ru-RU"/>
        </w:rPr>
        <w:t xml:space="preserve"> </w:t>
      </w:r>
      <w:bookmarkStart w:id="1" w:name="_Hlk31280318"/>
      <w:r w:rsidR="00857E7D">
        <w:rPr>
          <w:rFonts w:ascii="Times New Roman" w:eastAsia="Arial" w:hAnsi="Times New Roman"/>
          <w:i/>
          <w:sz w:val="28"/>
          <w:szCs w:val="28"/>
          <w:lang w:val="ru" w:eastAsia="ru-RU"/>
        </w:rPr>
        <w:t>–</w:t>
      </w:r>
      <w:bookmarkEnd w:id="1"/>
      <w:r w:rsidRPr="0072058D">
        <w:rPr>
          <w:rFonts w:ascii="Times New Roman" w:eastAsia="Arial" w:hAnsi="Times New Roman"/>
          <w:i/>
          <w:sz w:val="28"/>
          <w:szCs w:val="28"/>
          <w:lang w:val="ru" w:eastAsia="ru-RU"/>
        </w:rPr>
        <w:t xml:space="preserve"> тот глаз, что возвращает краске душу, которую ей должен, и вновь забирает ее назад. Он не видит ее, он благодаря ей просыпается и неусыпно о ней радеет.</w:t>
      </w:r>
    </w:p>
    <w:p w14:paraId="5F7AED98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ru" w:eastAsia="ru-RU"/>
        </w:rPr>
      </w:pPr>
      <w:r w:rsidRPr="0072058D">
        <w:rPr>
          <w:rFonts w:ascii="Times New Roman" w:eastAsia="Arial" w:hAnsi="Times New Roman"/>
          <w:sz w:val="28"/>
          <w:szCs w:val="28"/>
          <w:lang w:val="ru" w:eastAsia="ru-RU"/>
        </w:rPr>
        <w:t>...</w:t>
      </w:r>
    </w:p>
    <w:p w14:paraId="4F99BE22" w14:textId="77777777" w:rsidR="0072058D" w:rsidRPr="0072058D" w:rsidRDefault="0072058D" w:rsidP="00857E7D">
      <w:pPr>
        <w:spacing w:after="0" w:line="240" w:lineRule="auto"/>
        <w:jc w:val="right"/>
        <w:rPr>
          <w:rFonts w:ascii="Times New Roman" w:eastAsia="Arial" w:hAnsi="Times New Roman"/>
          <w:i/>
          <w:sz w:val="28"/>
          <w:szCs w:val="28"/>
          <w:lang w:val="ru" w:eastAsia="ru-RU"/>
        </w:rPr>
      </w:pPr>
      <w:r w:rsidRPr="0072058D">
        <w:rPr>
          <w:rFonts w:ascii="Times New Roman" w:eastAsia="Arial" w:hAnsi="Times New Roman"/>
          <w:i/>
          <w:sz w:val="28"/>
          <w:szCs w:val="28"/>
          <w:lang w:val="ru" w:eastAsia="ru-RU"/>
        </w:rPr>
        <w:t>Глаз, живописующий в отблесках коптящих факелов на стене Ласко, отторгает цвета у дневного света, где они даются непосредственно. Он изгоняет их и призывает вернуться — преображенными.</w:t>
      </w:r>
    </w:p>
    <w:p w14:paraId="7564DBEF" w14:textId="77777777" w:rsidR="00857E7D" w:rsidRDefault="00857E7D" w:rsidP="0072058D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ru" w:eastAsia="ru-RU"/>
        </w:rPr>
      </w:pPr>
    </w:p>
    <w:p w14:paraId="58200261" w14:textId="7984C41F" w:rsidR="0072058D" w:rsidRPr="0072058D" w:rsidRDefault="0072058D" w:rsidP="00857E7D">
      <w:pPr>
        <w:spacing w:after="0" w:line="240" w:lineRule="auto"/>
        <w:jc w:val="right"/>
        <w:rPr>
          <w:rFonts w:ascii="Times New Roman" w:eastAsia="Arial" w:hAnsi="Times New Roman"/>
          <w:i/>
          <w:iCs/>
          <w:sz w:val="28"/>
          <w:szCs w:val="28"/>
          <w:lang w:val="ru" w:eastAsia="ru-RU"/>
        </w:rPr>
      </w:pPr>
      <w:r w:rsidRPr="0072058D">
        <w:rPr>
          <w:rFonts w:ascii="Times New Roman" w:eastAsia="Arial" w:hAnsi="Times New Roman"/>
          <w:i/>
          <w:iCs/>
          <w:sz w:val="28"/>
          <w:szCs w:val="28"/>
          <w:lang w:val="ru" w:eastAsia="ru-RU"/>
        </w:rPr>
        <w:t xml:space="preserve">Ф. </w:t>
      </w:r>
      <w:proofErr w:type="spellStart"/>
      <w:r w:rsidRPr="0072058D">
        <w:rPr>
          <w:rFonts w:ascii="Times New Roman" w:eastAsia="Arial" w:hAnsi="Times New Roman"/>
          <w:i/>
          <w:iCs/>
          <w:sz w:val="28"/>
          <w:szCs w:val="28"/>
          <w:lang w:val="ru" w:eastAsia="ru-RU"/>
        </w:rPr>
        <w:t>Лиотар</w:t>
      </w:r>
      <w:proofErr w:type="spellEnd"/>
      <w:r w:rsidRPr="0072058D">
        <w:rPr>
          <w:rFonts w:ascii="Times New Roman" w:eastAsia="Arial" w:hAnsi="Times New Roman"/>
          <w:i/>
          <w:iCs/>
          <w:sz w:val="28"/>
          <w:szCs w:val="28"/>
          <w:lang w:val="ru" w:eastAsia="ru-RU"/>
        </w:rPr>
        <w:t xml:space="preserve">. </w:t>
      </w:r>
      <w:proofErr w:type="spellStart"/>
      <w:r w:rsidRPr="0072058D">
        <w:rPr>
          <w:rFonts w:ascii="Times New Roman" w:eastAsia="Arial" w:hAnsi="Times New Roman"/>
          <w:i/>
          <w:iCs/>
          <w:sz w:val="28"/>
          <w:szCs w:val="28"/>
          <w:lang w:val="ru" w:eastAsia="ru-RU"/>
        </w:rPr>
        <w:t>Anima</w:t>
      </w:r>
      <w:proofErr w:type="spellEnd"/>
      <w:r w:rsidRPr="0072058D">
        <w:rPr>
          <w:rFonts w:ascii="Times New Roman" w:eastAsia="Arial" w:hAnsi="Times New Roman"/>
          <w:i/>
          <w:iCs/>
          <w:sz w:val="28"/>
          <w:szCs w:val="28"/>
          <w:lang w:val="ru" w:eastAsia="ru-RU"/>
        </w:rPr>
        <w:t xml:space="preserve"> </w:t>
      </w:r>
      <w:proofErr w:type="spellStart"/>
      <w:r w:rsidRPr="0072058D">
        <w:rPr>
          <w:rFonts w:ascii="Times New Roman" w:eastAsia="Arial" w:hAnsi="Times New Roman"/>
          <w:i/>
          <w:iCs/>
          <w:sz w:val="28"/>
          <w:szCs w:val="28"/>
          <w:lang w:val="ru" w:eastAsia="ru-RU"/>
        </w:rPr>
        <w:t>minima</w:t>
      </w:r>
      <w:proofErr w:type="spellEnd"/>
    </w:p>
    <w:p w14:paraId="5F082FE2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  <w:lang w:val="ru" w:eastAsia="ru-RU"/>
        </w:rPr>
      </w:pPr>
    </w:p>
    <w:p w14:paraId="5821D97A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ru" w:eastAsia="ru-RU"/>
        </w:rPr>
      </w:pPr>
    </w:p>
    <w:p w14:paraId="6355B3E2" w14:textId="77777777" w:rsidR="00F34B31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bookmarkStart w:id="2" w:name="_Hlk31281647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Вопрос о том, в каком смысле возможно рассматривать археологическое наследие эпохи верхнего палеолита под современной рубрикой “искусство”, является одним из узловых для комплекса специализирующихся на первичном культурогенезе антропологических дисциплин. В более специальной форме он звучит как вопрос о мотивациях и причинах художественно-производственных актов, лежащих в основании деятельности палеолитического человека, приведших к появлению произведений “первобытного искусства”. Исходя из важности этого вопроса, уделим ему внимание в самом начале данной работы.</w:t>
      </w:r>
    </w:p>
    <w:bookmarkEnd w:id="2"/>
    <w:p w14:paraId="5D8677DF" w14:textId="317FB606" w:rsidR="00F34B31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lastRenderedPageBreak/>
        <w:t xml:space="preserve">В качестве эпиграфа был выбран фрагмент из работы Франсуа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Лиотара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, в которой мы находим некий новый, приходящий со стороны философии, способ отношения к этой проблеме. Разумеется, оставаясь в рамках берущей начало в середине XVIII века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vertAlign w:val="superscript"/>
          <w:lang w:val="ru" w:eastAsia="ru-RU"/>
        </w:rPr>
        <w:footnoteReference w:id="1"/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классической эстетики, выражение “первобытное искусство” можно понимать только иносказательно </w:t>
      </w:r>
      <w:bookmarkStart w:id="3" w:name="_Hlk31280275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—</w:t>
      </w:r>
      <w:bookmarkEnd w:id="3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культурная обособленность художественной деятельности, а значит и связанный с ней неутилитарный характер эстетического отношения к произведениям, — несравнимо более поздние явления. Вместе с тем, очевидно, отсутствовала знакомая нам система художественного образования и воспитания. Таким образом, следовало бы защищать “первобытное искусство” от навязывания ему столь </w:t>
      </w:r>
      <w:r w:rsidR="00B23C79"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анахроничным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языком теории искусства таких понятий, как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"эстетические нормы и принципы", "идейное содержание", "отражение жизни", "композиция", "чувство прекрасного" и т.д..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vertAlign w:val="superscript"/>
          <w:lang w:val="ru" w:eastAsia="ru-RU"/>
        </w:rPr>
        <w:footnoteReference w:id="2"/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Так, например, шагом на этом пути была разработка в отечественной традиции замещающего понятия “изобразительной деятельности”. Эта и схожая по характеру “обособляющая” научная работа имела, как кажется, прогрессивный характер и была необходима для разработки непредвзятой науки в данной сфере.</w:t>
      </w:r>
    </w:p>
    <w:p w14:paraId="2F83AF6A" w14:textId="2F6D7E59" w:rsidR="00F34B31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Чтобы понять, что </w:t>
      </w:r>
      <w:r w:rsidR="00B23C79"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нового,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в связи с этим вопросом мы можем найти у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Лиотара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, нам следует обратиться к феноменальности нашего эстетического опыта, связанного с наскальной живописью. С одной стороны, мы уже понимаем, что наша теоретико-эстетическая оптика неадекватна тому, с чем мы встречаемся, например, в Ласко. Она не может не видеть в этом “искусства”, но такого “искусства”, признав которое мы остаёмся в каком-то существенном смысле слепы. Недаром Ласко называют “Сикстинской капеллой первобытной живописи”, ведь то чувство возвышенного, которое она может вызывать, срывает со стен пещеры свой объект так, что даже какой-нибудь музей современного искусства мог бы принять его в качестве экспоната “без истории”. Нет, скажем мы, нужно отказать такому взгляду в познавательной ценности, ведь он видит на древних стенах такое искусство, условия возникновения и существования которого не имеют отношения к материальной фактичности этих изображений 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— таким образом, подобный эффект как случайный стоит оставить в распоряжении частному зрителю. По-настоящему же увидеть то, что изображено в данном случае, может только ученый, вооружившись как раз исследованиями той самой материальной фактичности.</w:t>
      </w:r>
    </w:p>
    <w:p w14:paraId="1C7C9D3A" w14:textId="77777777" w:rsidR="00F34B31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lastRenderedPageBreak/>
        <w:t xml:space="preserve">Но не чувствуется ли здесь что-то неладное? Виноваты ли эти вереницы лошадей и бизонов, что не были нарисованы в подвальной мастерской какого-нибудь эксцентричного нью-йоркского художника? Может быть наш опыт столкновения с наскальной живописью несет нечто большее, чем ложно-скромную просвещенную манифестацию культурной слепоты? В этом смысле, движение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Лиотара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предлагает нечто завораживающее. Вместо того, чтобы отбросить этот опыт, он возвращает его с той целью, чтобы снова понять искусство, дать ему новое “минимальное” фундаментальное определение, позволяющее видеть Ласко наравне с авангардной живописью XX века.</w:t>
      </w:r>
    </w:p>
    <w:p w14:paraId="5E2EB0D2" w14:textId="77777777" w:rsidR="00F34B31" w:rsidRDefault="0072058D" w:rsidP="00F34B31">
      <w:pPr>
        <w:spacing w:after="0" w:line="240" w:lineRule="auto"/>
        <w:ind w:firstLine="709"/>
        <w:jc w:val="both"/>
        <w:rPr>
          <w:rFonts w:ascii="Times New Roman" w:eastAsia="Roboto" w:hAnsi="Times New Roman"/>
          <w:sz w:val="28"/>
          <w:szCs w:val="28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Далее аутентично следовать за мыслью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Лиотара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нам не даёт дисциплинарная задача, стоящая перед этой работой, ведь мы, в таком случае, будем продвигаться в сферу языка чистых проблем философской эстетики.  С учетом данных обстоятельств, может быть немного невпопад, чтобы не бросать речь на полуслове, приведем лишь одну развернутую цитату: </w:t>
      </w:r>
      <w:r w:rsidR="00F34B31">
        <w:rPr>
          <w:rFonts w:ascii="Times New Roman" w:eastAsia="Times New Roman" w:hAnsi="Times New Roman"/>
          <w:sz w:val="28"/>
          <w:szCs w:val="28"/>
          <w:lang w:val="ru" w:eastAsia="ru-RU"/>
        </w:rPr>
        <w:t>«</w:t>
      </w:r>
      <w:r w:rsidRPr="0072058D">
        <w:rPr>
          <w:rFonts w:ascii="Times New Roman" w:eastAsia="Roboto" w:hAnsi="Times New Roman"/>
          <w:sz w:val="28"/>
          <w:szCs w:val="28"/>
          <w:lang w:val="ru" w:eastAsia="ru-RU"/>
        </w:rPr>
        <w:t>Если эти произведения сохраняют подчас живую способность нас волновать и с исчезновением своего «культурного контекста», то, конечно же, потому, что мы образуем ту публику без определенного вкуса, которую наделила полномочиями современность; но прежде всего потому, что сквозь «манеры» своего времени они апеллируют к таинственному, ни с каким временем не связанному «присутствию», удостоверяют его в чувственном. Всегда непохожие друг на друга, они возносят одну и ту же жалобу: эстетическое существование беспрестанно пробуждает от рабства и смерти. В великом произведении искусства всегда слышится поднятая перед угрозой небытия тревога</w:t>
      </w:r>
      <w:r w:rsidR="00F34B31">
        <w:rPr>
          <w:rFonts w:ascii="Times New Roman" w:eastAsia="Roboto" w:hAnsi="Times New Roman"/>
          <w:sz w:val="28"/>
          <w:szCs w:val="28"/>
          <w:lang w:val="ru" w:eastAsia="ru-RU"/>
        </w:rPr>
        <w:t>»</w:t>
      </w:r>
      <w:r w:rsidRPr="0072058D">
        <w:rPr>
          <w:rFonts w:ascii="Times New Roman" w:eastAsia="Roboto" w:hAnsi="Times New Roman"/>
          <w:sz w:val="28"/>
          <w:szCs w:val="28"/>
          <w:lang w:val="ru" w:eastAsia="ru-RU"/>
        </w:rPr>
        <w:t>.</w:t>
      </w:r>
      <w:r w:rsidRPr="0072058D">
        <w:rPr>
          <w:rFonts w:ascii="Times New Roman" w:eastAsia="Roboto" w:hAnsi="Times New Roman"/>
          <w:sz w:val="28"/>
          <w:szCs w:val="28"/>
          <w:vertAlign w:val="superscript"/>
          <w:lang w:val="ru" w:eastAsia="ru-RU"/>
        </w:rPr>
        <w:footnoteReference w:id="3"/>
      </w:r>
      <w:r w:rsidRPr="0072058D">
        <w:rPr>
          <w:rFonts w:ascii="Times New Roman" w:eastAsia="Roboto" w:hAnsi="Times New Roman"/>
          <w:sz w:val="28"/>
          <w:szCs w:val="28"/>
          <w:lang w:val="ru" w:eastAsia="ru-RU"/>
        </w:rPr>
        <w:t xml:space="preserve"> </w:t>
      </w:r>
    </w:p>
    <w:p w14:paraId="16E2FCEA" w14:textId="77777777" w:rsidR="00F34B31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Известно, памятники искусства верхнего палеолита делятся на две категории — мобильное (портативное) искусство</w:t>
      </w:r>
      <w:r w:rsidRPr="0072058D">
        <w:rPr>
          <w:rFonts w:ascii="Times New Roman" w:eastAsia="Times New Roman" w:hAnsi="Times New Roman"/>
          <w:sz w:val="28"/>
          <w:szCs w:val="28"/>
          <w:vertAlign w:val="superscript"/>
          <w:lang w:val="ru" w:eastAsia="ru-RU"/>
        </w:rPr>
        <w:footnoteReference w:id="4"/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с одной стороны, и живопись и гравюра на камне (монументальное искусство), с другой. В этой работе внимание </w:t>
      </w:r>
      <w:r w:rsidR="00F34B31"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сконцентрировано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на монументальном искусстве, хотя, конечно, мы неизбежно будем обращаться и к портативному, так как оба типа даны нам вместе как своеобразное лицо производивших их сообществ, а значит они могут прояснять как друг друга, так и эти сообщества в целом.</w:t>
      </w:r>
    </w:p>
    <w:p w14:paraId="0D0687ED" w14:textId="77777777" w:rsidR="00F34B31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lastRenderedPageBreak/>
        <w:t>В первой главе мы вернемся к уже названному “специальному” вопросу о мотивации художественного акта, представив существовавшие и распространенные теории на этот счёт.</w:t>
      </w:r>
    </w:p>
    <w:p w14:paraId="158201D1" w14:textId="77777777" w:rsidR="00F34B31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Во второй мы кратко опишем феномен наскальной живописи в антропологических координатах и приведем посильный для нас в рамках этой работы исследовательский контекст, посвященный связанным с ним проблемам.</w:t>
      </w:r>
    </w:p>
    <w:p w14:paraId="67902081" w14:textId="77777777" w:rsidR="00F34B31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Третья глава посвящена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нефигуративному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искусству и его отношениям с наскальной живописью.</w:t>
      </w:r>
    </w:p>
    <w:p w14:paraId="1D30409A" w14:textId="3BEAE3F8" w:rsidR="0072058D" w:rsidRPr="0072058D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В четвертой главе мы приведем аргументацию одной из холистических теорий развития четвертичного искусства, противопоставляя ее заявленным ранее </w:t>
      </w:r>
      <w:r w:rsidR="00F34B31"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оппонирующим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позициям.</w:t>
      </w:r>
    </w:p>
    <w:p w14:paraId="5F2B076B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 </w:t>
      </w:r>
    </w:p>
    <w:p w14:paraId="10C88BE9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val="ru" w:eastAsia="ru-RU"/>
        </w:rPr>
      </w:pPr>
    </w:p>
    <w:p w14:paraId="65F1D1DE" w14:textId="3D3870E5" w:rsidR="0072058D" w:rsidRPr="0072058D" w:rsidRDefault="0072058D" w:rsidP="00F34B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72058D">
        <w:rPr>
          <w:rFonts w:ascii="Times New Roman" w:eastAsia="Arial" w:hAnsi="Times New Roman"/>
          <w:b/>
          <w:sz w:val="28"/>
          <w:szCs w:val="28"/>
          <w:lang w:val="ru" w:eastAsia="ru-RU"/>
        </w:rPr>
        <w:t>МОТИВАЦИЯ ХУДОЖЕСТВЕННОГО АКТА</w:t>
      </w:r>
    </w:p>
    <w:p w14:paraId="090D2411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14:paraId="59341773" w14:textId="1694E8B0" w:rsidR="00F34B31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С тех пор, как антропологию и связанные с ней науки стал интересовать этот вопрос, было заявлено несколько различный взглядов. Опираясь на работу В.</w:t>
      </w:r>
      <w:r w:rsidR="00F34B31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П. Алексеева  и А.</w:t>
      </w:r>
      <w:r w:rsidR="00F34B31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И.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Першица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vertAlign w:val="superscript"/>
          <w:lang w:val="ru" w:eastAsia="ru-RU"/>
        </w:rPr>
        <w:footnoteReference w:id="5"/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, обобщенно можно привести следующие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биологизирующие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 теорий: сведение начала искусства к инстинктивной деятельности (теории “чистого искусства”); привлечение половых партнёров (фактор полового отбора); первичной потребности в деятельности неутилитарного характера (инстинкт игры и украшательства). Особенностью перечисленных позиций является полное элиминирование или отрицание значимости небиологических проявлений человека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доголоценовых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эпох. Из этого возникает общий для них недостаток объяснительной силы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— переход “допотопного” человека к узнаваемым нами проявлениям культуры оказывается чем-то чрезвычайно быстрым и мистическим.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А.</w:t>
      </w:r>
      <w:r w:rsidR="00F34B31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Д. Столяр отмечал, что продолжающееся с середины XIX до начала XX вв. господство этих теорий в среде ученых-эволюционистов сказалось в явном пренебрежении к уже открытым в то время памятниками наскальной живописи. Если палеолитический возраст памятников “искусства малых форм” достаточно рано был признан европейским научным сообществом (большую роль сыграла знаменитая совместная находка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Г.Кристи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и Э.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Ларте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1864 года 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— 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фрагмента бивня мамонта с гравированным изображением мамонта на нем), то монументальные пещерные комплексы, вроде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Альтамиры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, вплоть до начала XX века игнорировались или считались подделками</w:t>
      </w:r>
      <w:r w:rsidRPr="0072058D">
        <w:rPr>
          <w:rFonts w:ascii="Times New Roman" w:eastAsia="Times New Roman" w:hAnsi="Times New Roman"/>
          <w:sz w:val="28"/>
          <w:szCs w:val="28"/>
          <w:vertAlign w:val="superscript"/>
          <w:lang w:val="ru" w:eastAsia="ru-RU"/>
        </w:rPr>
        <w:footnoteReference w:id="6"/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. </w:t>
      </w:r>
    </w:p>
    <w:p w14:paraId="60088727" w14:textId="7CDC6D4D" w:rsidR="0072058D" w:rsidRPr="0072058D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lastRenderedPageBreak/>
        <w:t>Из “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небиологизирующих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” подходов, можно выделить две основных группы. Они не исключают, а скорее, даже взаимодополняют друг друга, очерчивая при этом различный предметный интерес. В первом случае, ископаемое искусство рассматривается как “побочный” продукт религиозной деятельный. Таким образом, его памятники позволяют нам моделировать религиозные практики и ментальность породивших их сообществ. Вторая группа ставит акцент на функции транзита коллективной памяти, которую исполняли эти произведения в образно-опосредованной форме</w:t>
      </w:r>
      <w:r w:rsidRPr="0072058D">
        <w:rPr>
          <w:rFonts w:ascii="Times New Roman" w:eastAsia="Times New Roman" w:hAnsi="Times New Roman"/>
          <w:sz w:val="28"/>
          <w:szCs w:val="28"/>
          <w:vertAlign w:val="superscript"/>
          <w:lang w:val="ru" w:eastAsia="ru-RU"/>
        </w:rPr>
        <w:footnoteReference w:id="7"/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.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 “Художественный образ в таком случае становится мнемоническим знаком, осуществляющим посреднические связи между прошлыми и будущими поколениями людей. Он также наделяется “силовым полем”, </w:t>
      </w:r>
      <w:r w:rsidR="00B23C79"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иррадиирущим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магические энергии, использование которых может обеспечить достижение определенной цели или принести неудачу”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vertAlign w:val="superscript"/>
          <w:lang w:val="ru" w:eastAsia="ru-RU"/>
        </w:rPr>
        <w:footnoteReference w:id="8"/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. Закономерным отличием этих теорий от рассмотренных нами выше является их “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культуроориентированность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”, которая методологически позволяет преодолеть недостатки чисто биологического взгляда. Вместе они являлись прогрессивным ответом науки XX века догматической позиции эволюционизма, последовательное отстаивание которой заставляло ее адептов игнорировать позитивный археологический материал. В дальнейшем, на их почве возникали новые направления исследований. Опираясь на рассмотренную в рамках данной работы литературу, можно сказать, что эти теории, если брать их в приведенной общей формулировке, признаются современной наукой как наиболее обоснованные до сих пор. </w:t>
      </w:r>
    </w:p>
    <w:p w14:paraId="4235DF8D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 </w:t>
      </w:r>
    </w:p>
    <w:p w14:paraId="21DB1D0B" w14:textId="77777777" w:rsidR="0072058D" w:rsidRPr="0072058D" w:rsidRDefault="0072058D" w:rsidP="00F34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b/>
          <w:sz w:val="28"/>
          <w:szCs w:val="28"/>
          <w:highlight w:val="white"/>
          <w:lang w:val="ru" w:eastAsia="ru-RU"/>
        </w:rPr>
        <w:t>НАСКАЛЬНАЯ ЖИВОПИСЬ В МИРЕ ПАЛЕОЛИТИЧЕСКОГО ЧЕЛОВЕКА</w:t>
      </w:r>
    </w:p>
    <w:p w14:paraId="6DF5EA1D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       </w:t>
      </w:r>
    </w:p>
    <w:p w14:paraId="3806ADC0" w14:textId="77777777" w:rsidR="00F34B31" w:rsidRDefault="0072058D" w:rsidP="00F34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Чтобы начать говорить о наскальной живописи, приведем историческую рамку, в которой данный феномен имел место.</w:t>
      </w:r>
    </w:p>
    <w:p w14:paraId="251DD8DC" w14:textId="7BAEA437" w:rsidR="00B23C79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Самый ранний из известных памятников монументальной живописи был обнаружен в пещере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Шове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во Франции. По современным оценкам, первые изображения комплекса были нанесены не менее 30000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л.н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. До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Шове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, развитую наскальную живопись по известным находкам относили преимущественно к поздней </w:t>
      </w:r>
      <w:proofErr w:type="spellStart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Солтюрейской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и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Мадленской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культурам, видя в ней венец палеолитического творчества. Открытие пещеры в 1994 году подорвало многие теории, пытающиеся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простоить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эволюцию ранних художественных форм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lastRenderedPageBreak/>
        <w:t xml:space="preserve">от "натурального макета" к объемному изображению, а от него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—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к графике и живописи. “ &lt;. . .&gt; стало ясно, что подобное представление об эволюции изобразительной деятельности не соответствует известным фактам. Все изобразительные техники появились практически одновременно”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vertAlign w:val="superscript"/>
          <w:lang w:val="ru" w:eastAsia="ru-RU"/>
        </w:rPr>
        <w:footnoteReference w:id="9"/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. Столкнувшись с невозможностью материально-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фактично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говорить о предполагаемой эволюции, по Я.</w:t>
      </w:r>
      <w:r w:rsidR="00B23C79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А. Шеру, более резонным кажется признать отсутствие ее обособленности как объекта возможного для нас исследования. “Эволюция, несомненно, была, но она развивалась латентно и проявлялась не в каких-то знаках на материальных носителях, а в развитии всей системы высшей нервной деятельности при формировании </w:t>
      </w:r>
      <w:proofErr w:type="spellStart"/>
      <w:r w:rsidRPr="0072058D">
        <w:rPr>
          <w:rFonts w:ascii="Times New Roman" w:eastAsia="Times New Roman" w:hAnsi="Times New Roman"/>
          <w:i/>
          <w:sz w:val="28"/>
          <w:szCs w:val="28"/>
          <w:highlight w:val="white"/>
          <w:lang w:val="ru" w:eastAsia="ru-RU"/>
        </w:rPr>
        <w:t>Homo</w:t>
      </w:r>
      <w:proofErr w:type="spellEnd"/>
      <w:r w:rsidRPr="0072058D">
        <w:rPr>
          <w:rFonts w:ascii="Times New Roman" w:eastAsia="Times New Roman" w:hAnsi="Times New Roman"/>
          <w:i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72058D">
        <w:rPr>
          <w:rFonts w:ascii="Times New Roman" w:eastAsia="Times New Roman" w:hAnsi="Times New Roman"/>
          <w:i/>
          <w:sz w:val="28"/>
          <w:szCs w:val="28"/>
          <w:highlight w:val="white"/>
          <w:lang w:val="ru" w:eastAsia="ru-RU"/>
        </w:rPr>
        <w:t>sapiens</w:t>
      </w:r>
      <w:proofErr w:type="spellEnd"/>
      <w:r w:rsidRPr="0072058D">
        <w:rPr>
          <w:rFonts w:ascii="Times New Roman" w:eastAsia="Times New Roman" w:hAnsi="Times New Roman"/>
          <w:i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72058D">
        <w:rPr>
          <w:rFonts w:ascii="Times New Roman" w:eastAsia="Times New Roman" w:hAnsi="Times New Roman"/>
          <w:i/>
          <w:sz w:val="28"/>
          <w:szCs w:val="28"/>
          <w:highlight w:val="white"/>
          <w:lang w:val="ru" w:eastAsia="ru-RU"/>
        </w:rPr>
        <w:t>sapiens</w:t>
      </w:r>
      <w:proofErr w:type="spellEnd"/>
      <w:r w:rsidRPr="0072058D">
        <w:rPr>
          <w:rFonts w:ascii="Times New Roman" w:eastAsia="Times New Roman" w:hAnsi="Times New Roman"/>
          <w:i/>
          <w:sz w:val="28"/>
          <w:szCs w:val="28"/>
          <w:highlight w:val="white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как особого вида”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vertAlign w:val="superscript"/>
          <w:lang w:val="ru" w:eastAsia="ru-RU"/>
        </w:rPr>
        <w:footnoteReference w:id="10"/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. </w:t>
      </w:r>
    </w:p>
    <w:p w14:paraId="70E5B063" w14:textId="69AF5EEF" w:rsidR="00B23C79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Эпоха монументального искусства расцветает в начале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мадлена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и стремительно угасает вместе с Ледниковым периодом, около 10000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л.н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. Преемственность ей можно наблюдать и позднее, в неолите, где в некоторых районах Альп, Скандинавии, Урала и Сибири население продолжает выбивать и наносить краской на скалы образы животных и людей или духов, связанных с охотничьими культами. </w:t>
      </w:r>
    </w:p>
    <w:p w14:paraId="2CC44A8F" w14:textId="77777777" w:rsidR="00B23C79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Рассмотрим теперь содержание рисунков. Самые распространённые из них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— изображения лошадей и бизонов. Опираясь на другие имеющиеся данные о жизни и экологическом окружении человека эпохи наскальной живописи, можно достаточно уверенно сказать, что они были для него главным объектом охоты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vertAlign w:val="superscript"/>
          <w:lang w:val="ru" w:eastAsia="ru-RU"/>
        </w:rPr>
        <w:footnoteReference w:id="11"/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. Значительно реже изображались мамонты, шерстистые носороги и хищники. Встречаются также единичные изображения змей, птиц, рыб, насекомых и растений. Рядом с многими изображениями животных мы находим нарисованные копья (объяснение этого через связь с охотничьими ритуалами является широко разделяемым).</w:t>
      </w:r>
    </w:p>
    <w:p w14:paraId="2E3F9CC1" w14:textId="77777777" w:rsidR="00B23C79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Характерно, что людей на стенах пещер практически нет, а если есть, то, в отличии от животных, они изображены с бросающимся в глаза схематизмом. То, как они представлены, свидетельствует в пользу того, что их жизнь была мирной: “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Мы нигде не встречаем изображений конфликтов между людьми и довольно редко находим изображения человека, владеющего оружием”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vertAlign w:val="superscript"/>
          <w:lang w:val="ru" w:eastAsia="ru-RU"/>
        </w:rPr>
        <w:footnoteReference w:id="12"/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. </w:t>
      </w:r>
    </w:p>
    <w:p w14:paraId="765F9D79" w14:textId="77777777" w:rsidR="00B23C79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23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lastRenderedPageBreak/>
        <w:t xml:space="preserve">Помимо “реалистических” образов, мы можем найти разнообразие так называемых </w:t>
      </w:r>
      <w:proofErr w:type="spellStart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нефигуративных</w:t>
      </w:r>
      <w:proofErr w:type="spellEnd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 элементов: геометрических фигур и линий, пятен, отпечатков человеческих рук. Их значение трактуется по-разному. “</w:t>
      </w:r>
      <w:r w:rsidRPr="0072058D">
        <w:rPr>
          <w:rFonts w:ascii="Times New Roman" w:eastAsia="Times New Roman" w:hAnsi="Times New Roman"/>
          <w:color w:val="333232"/>
          <w:sz w:val="28"/>
          <w:szCs w:val="28"/>
          <w:highlight w:val="white"/>
          <w:lang w:val="ru" w:eastAsia="ru-RU"/>
        </w:rPr>
        <w:t>Некоторые из них, видимо, изображают жилища, другие могли иметь мистическое или календарное назначение”</w:t>
      </w:r>
      <w:r w:rsidRPr="0072058D">
        <w:rPr>
          <w:rFonts w:ascii="Times New Roman" w:eastAsia="Times New Roman" w:hAnsi="Times New Roman"/>
          <w:color w:val="333232"/>
          <w:sz w:val="28"/>
          <w:szCs w:val="28"/>
          <w:highlight w:val="white"/>
          <w:vertAlign w:val="superscript"/>
          <w:lang w:val="ru" w:eastAsia="ru-RU"/>
        </w:rPr>
        <w:footnoteReference w:id="13"/>
      </w:r>
      <w:r w:rsidRPr="0072058D">
        <w:rPr>
          <w:rFonts w:ascii="Times New Roman" w:eastAsia="Times New Roman" w:hAnsi="Times New Roman"/>
          <w:color w:val="333232"/>
          <w:sz w:val="28"/>
          <w:szCs w:val="28"/>
          <w:highlight w:val="white"/>
          <w:lang w:val="ru" w:eastAsia="ru-RU"/>
        </w:rPr>
        <w:t>.</w:t>
      </w:r>
    </w:p>
    <w:p w14:paraId="7FA986FD" w14:textId="77777777" w:rsidR="00B23C79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То место, где именно находятся памятки, в совокупности с другим археологическим материалом пещер, позволяет узнать о некоторых аспектах жизни верхнепалеолитических сообществ. Расположение большинства обнаруженных стоянок указывают на то, что преимущественно человек осваивал неглубокие освещенные гроты и приустьевые участки больших пещер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vertAlign w:val="superscript"/>
          <w:lang w:val="ru" w:eastAsia="ru-RU"/>
        </w:rPr>
        <w:footnoteReference w:id="14"/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. Примечательно, что следы некоторых глубоких погружений в недра пещер убедительно показывают, что люди их совершили именно с целью создания настенных изображений. Этот факт напоминает фундаментальное различие мирского и светского Дюркгейма, и подобное предположение не оказывается совсем беспочвенным и находит другие свидетельства в свою пользу. Далее мы будем говорить о некоторых из них.</w:t>
      </w:r>
    </w:p>
    <w:p w14:paraId="400D2094" w14:textId="77777777" w:rsidR="00B23C79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На сегодняшний день обнаружено около 40 ископаемых комплексов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vertAlign w:val="superscript"/>
          <w:lang w:val="ru" w:eastAsia="ru-RU"/>
        </w:rPr>
        <w:footnoteReference w:id="15"/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 интересующего нас периода, где присутствуют произведения как мобильного, так и настенного искусства. С учетом их общего количества и разнородности — это достаточно малое число. Массив находок явно указывает на наличие ло</w:t>
      </w:r>
      <w:r w:rsidR="00B23C79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softHyphen/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кальный ареалов с превалирующим развитием одной из этих двух форм. А.В. Семенов считает, что: “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пещеры, в которых концентрировались оба типа искусства, были особо отмеченными местами и являлись центрами притяжения для обширных соседних территорий. В таких пещерах, как правило, выработаны обширные речные туннели, как, например, в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Мас-д’Азиль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или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Истюриц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. Они служили ритуальными центрами для связанных между собой социумов, что и демонстрирует концентрация в них орудийной деятельности и высокая творческая активность”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vertAlign w:val="superscript"/>
          <w:lang w:val="ru" w:eastAsia="ru-RU"/>
        </w:rPr>
        <w:footnoteReference w:id="16"/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. Иногда, преимущественная связь мобильного искусства с местами постоянного проживания и, в свою очередь, вынесение за границы жилой территории настенных изображений подтверждается примерами, где в связанных проходом пещерах явно выражено подобное разделение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vertAlign w:val="superscript"/>
          <w:lang w:val="ru" w:eastAsia="ru-RU"/>
        </w:rPr>
        <w:footnoteReference w:id="17"/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. Значительным затруднением для того, чтобы серьезно рассматривать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lastRenderedPageBreak/>
        <w:t>столь важное различие функций этих видов искусства, являются некоторые комплексы с богатым живописным наследием, которые так или иначе были обитаемыми (например, Ласко).</w:t>
      </w:r>
    </w:p>
    <w:p w14:paraId="68B2BEAD" w14:textId="77777777" w:rsidR="00B23C79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Мы уже упоминали о выраженной связи наскальных изображений с охотничьими ритуалами. Эту связь поддерживают и раскрывают сохранившиеся на глине рядом с росписями следы подростков.    С.</w:t>
      </w:r>
      <w:r w:rsidR="00B23C79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В.</w:t>
      </w:r>
      <w:r w:rsidR="00B23C79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Добрышевский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считает возможным трактовать их как свидетельства обрядов посвящения, проводимых здесь.</w:t>
      </w:r>
    </w:p>
    <w:p w14:paraId="67ED0066" w14:textId="3449CF8D" w:rsidR="0072058D" w:rsidRPr="0072058D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Возвращаясь к предположению о возможном проявлении различия священного и мирского в современных монументальной живописи сообществах, отметим, что в исследованной в рамках данной работы литературе практически все авторы скептически высказываются на счет возможности значительных позитивных изменений в этой области исследований в ближайшем будущем. Неутихающая череда археологических находок на протяжении всего XX века подрывала запаздывающую теоретическую работу. Известный на данный момент фактический материал оказался слишком сложным и разнородным для возможности отстаивания гладких и линейных теорий. </w:t>
      </w:r>
    </w:p>
    <w:p w14:paraId="0A353A0D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  </w:t>
      </w:r>
    </w:p>
    <w:p w14:paraId="3128D3E4" w14:textId="25629845" w:rsidR="0072058D" w:rsidRPr="0072058D" w:rsidRDefault="0072058D" w:rsidP="00B23C79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Arial" w:hAnsi="Times New Roman"/>
          <w:b/>
          <w:sz w:val="28"/>
          <w:szCs w:val="28"/>
          <w:highlight w:val="white"/>
          <w:lang w:val="ru" w:eastAsia="ru-RU"/>
        </w:rPr>
        <w:t>НЕФИГУРАТИВНОЕ ИСКУССТВО</w:t>
      </w:r>
    </w:p>
    <w:p w14:paraId="0655A0BB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</w:p>
    <w:p w14:paraId="3DDA7670" w14:textId="10275400" w:rsidR="00B23C79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Проблемы, связанные с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нефигуративным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</w:t>
      </w:r>
      <w:r w:rsidR="00B23C79"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искусством,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выходят за исторические рамки эпохи монументальной живописи. Составленные из одних линий (линеарный) рисунок, прорезанный в твердой породе или просто нанесенный пальцами, известен с самого начала верхнего палеолита, т.е. он появился как минимум 40000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л.н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. Уже его можно рассматриваться как несущий сложное семиотическое содержанием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vertAlign w:val="superscript"/>
          <w:lang w:val="ru" w:eastAsia="ru-RU"/>
        </w:rPr>
        <w:footnoteReference w:id="18"/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. Верхний палеолит оставил колоссальное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нефигуративное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наследие: геометрические фигуры, разной сложности орнаменты, знаки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—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и все это разнообразие можно найти как на стенах пещер, так и на большинстве произведений мобильного искусства.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Нефигуративные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знаки в данный период, по современным данным, встречаются от двух до трёх раз чаще, чем фигуративные. При этом,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нефигуративные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объекты жестко отделены от образных изображений как на стенах пещер, так и в мелкой пластике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vertAlign w:val="superscript"/>
          <w:lang w:val="ru" w:eastAsia="ru-RU"/>
        </w:rPr>
        <w:footnoteReference w:id="19"/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. В этом смысле, они немного выпадают из того, что обычно понимается под наскальной живописью. С другой стороны, процессы ее создания и функционирования вряд ли следует абстрагировать от соответствующих характеристик нефигурального искусства. Скорее, более важная задача состоит в том, чтобы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lastRenderedPageBreak/>
        <w:t>видеть их вместе, попробовать эксплицировать их взаимовлияние, стараться объяснить их сосуществование.</w:t>
      </w:r>
    </w:p>
    <w:p w14:paraId="1642311A" w14:textId="6A696051" w:rsidR="0072058D" w:rsidRPr="0072058D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Если монументальная живопись видится нам в свете доведения до предела образно-экстатического реализма, то в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нефигуративном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поле </w:t>
      </w:r>
      <w:r w:rsidR="00B23C79"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происходит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, с </w:t>
      </w:r>
      <w:r w:rsidR="00B23C79"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первого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взгляда, нечто обратное: знак бежит от художественного образа. “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В знаках, согласно А.</w:t>
      </w:r>
      <w:r w:rsidR="00B23C79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Д. Столяру, определённые темы выражались в схематически-стилизованных идеограммах, отдалившихся от первоначального прототипа. Орнаментальные же композиции, сохраняя связь с семантикой, строились в процессе организации ритмично повторяющихся геометрических элементов”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vertAlign w:val="superscript"/>
          <w:lang w:val="ru" w:eastAsia="ru-RU"/>
        </w:rPr>
        <w:footnoteReference w:id="20"/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.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На определенном этапе присутствие в “художественном </w:t>
      </w:r>
      <w:r w:rsidR="00B23C79"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арсенале” различных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памятников сложных геометрических фигур, вроде треугольника и прямоугольника, можно рассматривать как маркер по выявлению коммуницирующих друг с другом групп, т.е. оказалось, что знаки лучше отражают локальные влияния, чем образные изображения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. </w:t>
      </w:r>
    </w:p>
    <w:p w14:paraId="04627057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Кажется, что </w:t>
      </w:r>
      <w:proofErr w:type="spellStart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нефигуративное</w:t>
      </w:r>
      <w:proofErr w:type="spellEnd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 искусство содержит в себе большой потенциал для исследований семантического характера. Известный французский исследователь А. </w:t>
      </w:r>
      <w:proofErr w:type="spellStart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Леруа</w:t>
      </w:r>
      <w:proofErr w:type="spellEnd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-Гуран считал, что знаки и символы выступают в роли концепта, позволяющего понять метафизику палеолитического творчества, приоткрыть часть мифологической картины мира древнего человека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vertAlign w:val="superscript"/>
          <w:lang w:val="ru" w:eastAsia="ru-RU"/>
        </w:rPr>
        <w:footnoteReference w:id="21"/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. В своей работе он старался систематически классифицировать самые частотные формы и проинтерпретировал получившиеся группы. Большинство рассмотренных знаков он определил как человеческие манифестации (женские и мужские половые органы), остальные сводились к переведенным в символические формы изображениям животных и человеческих фигур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vertAlign w:val="superscript"/>
          <w:lang w:val="ru" w:eastAsia="ru-RU"/>
        </w:rPr>
        <w:footnoteReference w:id="22"/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.</w:t>
      </w:r>
    </w:p>
    <w:p w14:paraId="4F7C6E6E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</w:p>
    <w:p w14:paraId="388068BC" w14:textId="77777777" w:rsidR="0072058D" w:rsidRPr="0072058D" w:rsidRDefault="0072058D" w:rsidP="00B23C79">
      <w:pPr>
        <w:spacing w:after="0" w:line="240" w:lineRule="auto"/>
        <w:jc w:val="center"/>
        <w:rPr>
          <w:rFonts w:ascii="Times New Roman" w:eastAsia="Arial" w:hAnsi="Times New Roman"/>
          <w:b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Arial" w:hAnsi="Times New Roman"/>
          <w:b/>
          <w:color w:val="222222"/>
          <w:sz w:val="28"/>
          <w:szCs w:val="28"/>
          <w:highlight w:val="white"/>
          <w:lang w:val="ru" w:eastAsia="ru-RU"/>
        </w:rPr>
        <w:t>ПРИМЕР АРГУМЕНТАЦИИ МОНИСТИЧЕСКОЙ ТЕОРИИ СТАНОВЛЕНИЯ ИЗОБРАЗИТЕЛЬНОГО ИСКУССТВА</w:t>
      </w:r>
    </w:p>
    <w:p w14:paraId="313ED45B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</w:p>
    <w:p w14:paraId="50872BC8" w14:textId="77777777" w:rsidR="00B23C79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Выше мы приводили мнение Я.</w:t>
      </w:r>
      <w:r w:rsidR="00B23C79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А. Шера по поводу попыток искать последовательную материальную эволюцию художественных форм четвертичного искусства.  Условно, эту позицию можно назвать </w:t>
      </w:r>
      <w:proofErr w:type="spellStart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антимонистической</w:t>
      </w:r>
      <w:proofErr w:type="spellEnd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, и, судя по всему, она имеет широкий консенсус в современной науке. Возможно, это объясняется разочарованием в череде уже предпринятых попыток. В завершении нашей работы обратимся к аргументации, которую приводила в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lastRenderedPageBreak/>
        <w:t>свою поддержку одна из холистических теорий. В качестве примера, рассмотрим позицию советского ученого А.</w:t>
      </w:r>
      <w:r w:rsidR="00B23C79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Д. Столяра.</w:t>
      </w:r>
    </w:p>
    <w:p w14:paraId="1A459248" w14:textId="6F693EEB" w:rsidR="0072058D" w:rsidRPr="0072058D" w:rsidRDefault="0072058D" w:rsidP="00B23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Представляя становление ископаемого искусства как единый материально-исторический процесс, Столяр в то же время отрицает линейность его эволюционного развития от этапа к этапу, противопоставляя свою позицию А.А. </w:t>
      </w:r>
      <w:proofErr w:type="spellStart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Форзомову</w:t>
      </w:r>
      <w:proofErr w:type="spellEnd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vertAlign w:val="superscript"/>
          <w:lang w:val="ru" w:eastAsia="ru-RU"/>
        </w:rPr>
        <w:footnoteReference w:id="23"/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. Качественные переходы, разрывы в поступательном движении и неравномерность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— неоспоримые характеристики этого процесса. В доказательство же его единства ученый предлагает идеологически нейтральный аргумент. “&lt;. . .&gt; ретроспективным свидетельством монизма становления изобразительного творчества служит фундаментальное единство художественных традиций верхнего палеолита, принципиальная однородность его искусства  &lt;. . .&gt; А в том, что диалектически-неравномерный, все более усложняющийся и ускоряющийся ход генезиса творчества предстает в связанном виде, без лагун и пустот &lt;. . .&gt; видится примета преемственности исторического процесса”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vertAlign w:val="superscript"/>
          <w:lang w:val="ru" w:eastAsia="ru-RU"/>
        </w:rPr>
        <w:footnoteReference w:id="24"/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. </w:t>
      </w:r>
    </w:p>
    <w:p w14:paraId="5664F8F1" w14:textId="5D1A3234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</w:t>
      </w:r>
    </w:p>
    <w:p w14:paraId="7AAF2C4F" w14:textId="25F1B599" w:rsidR="0072058D" w:rsidRPr="0072058D" w:rsidRDefault="00B23C79" w:rsidP="00B23C79">
      <w:pPr>
        <w:spacing w:after="0" w:line="240" w:lineRule="auto"/>
        <w:jc w:val="center"/>
        <w:rPr>
          <w:rFonts w:ascii="Times New Roman" w:eastAsia="Arial" w:hAnsi="Times New Roman"/>
          <w:b/>
          <w:color w:val="222222"/>
          <w:sz w:val="28"/>
          <w:szCs w:val="28"/>
          <w:highlight w:val="white"/>
          <w:lang w:val="ru" w:eastAsia="ru-RU"/>
        </w:rPr>
      </w:pPr>
      <w:r>
        <w:rPr>
          <w:rFonts w:ascii="Times New Roman" w:eastAsia="Arial" w:hAnsi="Times New Roman"/>
          <w:b/>
          <w:color w:val="222222"/>
          <w:sz w:val="28"/>
          <w:szCs w:val="28"/>
          <w:highlight w:val="white"/>
          <w:lang w:val="ru" w:eastAsia="ru-RU"/>
        </w:rPr>
        <w:t>Л</w:t>
      </w:r>
      <w:r w:rsidR="0072058D" w:rsidRPr="0072058D">
        <w:rPr>
          <w:rFonts w:ascii="Times New Roman" w:eastAsia="Arial" w:hAnsi="Times New Roman"/>
          <w:b/>
          <w:color w:val="222222"/>
          <w:sz w:val="28"/>
          <w:szCs w:val="28"/>
          <w:highlight w:val="white"/>
          <w:lang w:val="ru" w:eastAsia="ru-RU"/>
        </w:rPr>
        <w:t>ИТЕРАТУР</w:t>
      </w:r>
      <w:r>
        <w:rPr>
          <w:rFonts w:ascii="Times New Roman" w:eastAsia="Arial" w:hAnsi="Times New Roman"/>
          <w:b/>
          <w:color w:val="222222"/>
          <w:sz w:val="28"/>
          <w:szCs w:val="28"/>
          <w:highlight w:val="white"/>
          <w:lang w:val="ru" w:eastAsia="ru-RU"/>
        </w:rPr>
        <w:t>А</w:t>
      </w:r>
    </w:p>
    <w:p w14:paraId="2D43CF15" w14:textId="77777777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  <w:lang w:val="ru" w:eastAsia="ru-RU"/>
        </w:rPr>
      </w:pPr>
    </w:p>
    <w:p w14:paraId="1D6C2030" w14:textId="77777777" w:rsidR="0072058D" w:rsidRPr="0072058D" w:rsidRDefault="0072058D" w:rsidP="0072058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proofErr w:type="spellStart"/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>Лиотар</w:t>
      </w:r>
      <w:proofErr w:type="spellEnd"/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 Ж.-Ф.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Anima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proofErr w:type="spellStart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minima</w:t>
      </w:r>
      <w:proofErr w:type="spellEnd"/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// Приложение к работе </w:t>
      </w:r>
      <w:proofErr w:type="spellStart"/>
      <w:r w:rsidRPr="0072058D">
        <w:rPr>
          <w:rFonts w:ascii="Times New Roman" w:eastAsia="Times New Roman" w:hAnsi="Times New Roman"/>
          <w:i/>
          <w:sz w:val="28"/>
          <w:szCs w:val="28"/>
          <w:highlight w:val="white"/>
          <w:lang w:val="ru" w:eastAsia="ru-RU"/>
        </w:rPr>
        <w:t>Рансьера</w:t>
      </w:r>
      <w:proofErr w:type="spellEnd"/>
      <w:r w:rsidRPr="0072058D">
        <w:rPr>
          <w:rFonts w:ascii="Times New Roman" w:eastAsia="Times New Roman" w:hAnsi="Times New Roman"/>
          <w:i/>
          <w:sz w:val="28"/>
          <w:szCs w:val="28"/>
          <w:highlight w:val="white"/>
          <w:lang w:val="ru" w:eastAsia="ru-RU"/>
        </w:rPr>
        <w:t xml:space="preserve"> Ж.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Эстетическое бессознательное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.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—  М., 2004.</w:t>
      </w:r>
    </w:p>
    <w:p w14:paraId="581B96D2" w14:textId="1E1FA162" w:rsidR="0072058D" w:rsidRPr="0072058D" w:rsidRDefault="0072058D" w:rsidP="0072058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>Семёнов В.</w:t>
      </w:r>
      <w:r w:rsidR="00B23C79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А.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Первобытное искусство. Каменный век. Бронзовый век. Новая история </w:t>
      </w:r>
      <w:r w:rsidR="00B23C79"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искусства </w:t>
      </w:r>
      <w:r w:rsidR="00B23C79"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>—</w:t>
      </w:r>
      <w:r w:rsidR="00B23C79"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 СПб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., 2008.</w:t>
      </w:r>
    </w:p>
    <w:p w14:paraId="3575D7C6" w14:textId="3E7EF25C" w:rsidR="0072058D" w:rsidRPr="0072058D" w:rsidRDefault="0072058D" w:rsidP="0072058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>Столяр А.</w:t>
      </w:r>
      <w:r w:rsidR="00B23C79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Д. 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Происхождение изобразительного искусства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— М., 1985.</w:t>
      </w:r>
    </w:p>
    <w:p w14:paraId="04E38679" w14:textId="40EA2DE6" w:rsidR="0072058D" w:rsidRPr="0072058D" w:rsidRDefault="0072058D" w:rsidP="0072058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>Алексеева В.</w:t>
      </w:r>
      <w:r w:rsidR="00B23C79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П., </w:t>
      </w:r>
      <w:proofErr w:type="spellStart"/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>Першиц</w:t>
      </w:r>
      <w:proofErr w:type="spellEnd"/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 А.</w:t>
      </w:r>
      <w:r w:rsidR="00B23C79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>И.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История первобытного общества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: Учебник для студентов вузов — М., 2007.</w:t>
      </w:r>
    </w:p>
    <w:p w14:paraId="53AF08ED" w14:textId="0BBB1A11" w:rsidR="0072058D" w:rsidRPr="006D42F2" w:rsidRDefault="0072058D" w:rsidP="0003243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proofErr w:type="spellStart"/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>Добрышевский</w:t>
      </w:r>
      <w:proofErr w:type="spellEnd"/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 С.</w:t>
      </w:r>
      <w:r w:rsidR="00B23C79" w:rsidRPr="006D42F2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>В.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Искусство верхнего палеолита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//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фрагмент книги: Достающее звено // М.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, 2017. </w:t>
      </w:r>
      <w:proofErr w:type="spellStart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Ист</w:t>
      </w:r>
      <w:proofErr w:type="spellEnd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en-US" w:eastAsia="ru-RU"/>
        </w:rPr>
        <w:t>.: antropogenez.ru/</w:t>
      </w:r>
      <w:proofErr w:type="spellStart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en-US" w:eastAsia="ru-RU"/>
        </w:rPr>
        <w:t>zveno</w:t>
      </w:r>
      <w:proofErr w:type="spellEnd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en-US" w:eastAsia="ru-RU"/>
        </w:rPr>
        <w:t>-single/140/</w:t>
      </w:r>
    </w:p>
    <w:p w14:paraId="7CF65046" w14:textId="486FDCC4" w:rsidR="0072058D" w:rsidRPr="0072058D" w:rsidRDefault="0072058D" w:rsidP="0072058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Arial" w:hAnsi="Times New Roman"/>
          <w:sz w:val="28"/>
          <w:szCs w:val="28"/>
          <w:highlight w:val="white"/>
          <w:lang w:eastAsia="ru-RU"/>
        </w:rPr>
        <w:t xml:space="preserve"> </w:t>
      </w:r>
      <w:r w:rsidRPr="0072058D">
        <w:rPr>
          <w:rFonts w:ascii="Times New Roman" w:eastAsia="Times New Roman" w:hAnsi="Times New Roman"/>
          <w:i/>
          <w:sz w:val="28"/>
          <w:szCs w:val="28"/>
          <w:highlight w:val="white"/>
          <w:lang w:val="ru" w:eastAsia="ru-RU"/>
        </w:rPr>
        <w:t>Шер Я.</w:t>
      </w:r>
      <w:r w:rsidR="00B23C79">
        <w:rPr>
          <w:rFonts w:ascii="Times New Roman" w:eastAsia="Times New Roman" w:hAnsi="Times New Roman"/>
          <w:i/>
          <w:sz w:val="28"/>
          <w:szCs w:val="28"/>
          <w:highlight w:val="white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i/>
          <w:sz w:val="28"/>
          <w:szCs w:val="28"/>
          <w:highlight w:val="white"/>
          <w:lang w:val="ru" w:eastAsia="ru-RU"/>
        </w:rPr>
        <w:t>А.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Как и когда возникло искусство? //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фрагмент книги: Археология изнутри. Научно-популярные очерки // Кемерово: КГУ. 2009. 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Ист.: antropogenez.ru/</w:t>
      </w:r>
      <w:proofErr w:type="spellStart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article</w:t>
      </w:r>
      <w:proofErr w:type="spellEnd"/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/189/</w:t>
      </w:r>
    </w:p>
    <w:p w14:paraId="10728804" w14:textId="58B8D60B" w:rsidR="0072058D" w:rsidRPr="0072058D" w:rsidRDefault="0072058D" w:rsidP="0072058D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>Аверинцев С.</w:t>
      </w:r>
      <w:r w:rsidR="00B23C79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i/>
          <w:sz w:val="28"/>
          <w:szCs w:val="28"/>
          <w:lang w:val="ru" w:eastAsia="ru-RU"/>
        </w:rPr>
        <w:t>С.</w:t>
      </w:r>
      <w:r w:rsidR="00B23C79">
        <w:rPr>
          <w:rFonts w:ascii="Times New Roman" w:eastAsia="Times New Roman" w:hAnsi="Times New Roman"/>
          <w:i/>
          <w:sz w:val="28"/>
          <w:szCs w:val="28"/>
          <w:lang w:val="ru" w:eastAsia="ru-RU"/>
        </w:rPr>
        <w:t xml:space="preserve"> </w:t>
      </w:r>
      <w:r w:rsidRPr="0072058D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Поэтика ранневизантийской литературы. </w:t>
      </w:r>
      <w:r w:rsidRPr="0072058D"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  <w:t>—  М., 1997.</w:t>
      </w:r>
    </w:p>
    <w:p w14:paraId="14D8BB3A" w14:textId="58B607B4" w:rsidR="0072058D" w:rsidRPr="0072058D" w:rsidRDefault="0072058D" w:rsidP="0072058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  <w:lang w:val="ru" w:eastAsia="ru-RU"/>
        </w:rPr>
      </w:pPr>
    </w:p>
    <w:p w14:paraId="7237B554" w14:textId="77777777" w:rsidR="005D250D" w:rsidRDefault="005D250D" w:rsidP="005D25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D250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STATUS OF ROCK ART IN THE FRAMEWORK OF CULTURAL GENESIS</w:t>
      </w:r>
    </w:p>
    <w:p w14:paraId="27AB9CC1" w14:textId="77777777" w:rsidR="005D250D" w:rsidRDefault="005D250D" w:rsidP="005D25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161961FE" w14:textId="4B877BF7" w:rsidR="005D250D" w:rsidRPr="005D250D" w:rsidRDefault="005D250D" w:rsidP="005D25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5D250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Glotov</w:t>
      </w:r>
      <w:proofErr w:type="spellEnd"/>
      <w:r w:rsidRPr="005D250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A.V. </w:t>
      </w:r>
    </w:p>
    <w:p w14:paraId="7F5DC625" w14:textId="77777777" w:rsidR="005D250D" w:rsidRDefault="005D250D" w:rsidP="005D25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07D2C5DD" w14:textId="01642E79" w:rsidR="005D250D" w:rsidRDefault="005D250D" w:rsidP="005D2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D250D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The work is devoted to the question: in what sense is it possible to consider the archaeological heritage of the upper Paleolithic era under the modern heading " art”, which is one of the nodes for the complex of anthropological disciplines specializing in primary cultural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5D250D">
        <w:rPr>
          <w:rFonts w:ascii="Times New Roman" w:hAnsi="Times New Roman"/>
          <w:color w:val="000000"/>
          <w:sz w:val="28"/>
          <w:szCs w:val="28"/>
          <w:lang w:val="en-US"/>
        </w:rPr>
        <w:t xml:space="preserve">enesis. In a more special form, it sounds like a question about the motivations and reasons for artistic and production acts that underlie the activity of Paleolithic man, which led to the appearance of works of “primitive art”. </w:t>
      </w:r>
    </w:p>
    <w:p w14:paraId="151621DF" w14:textId="6A6CFD66" w:rsidR="005D250D" w:rsidRPr="005D250D" w:rsidRDefault="005D250D" w:rsidP="005D2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D250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Key words</w:t>
      </w:r>
      <w:r w:rsidRPr="005D250D">
        <w:rPr>
          <w:rFonts w:ascii="Times New Roman" w:hAnsi="Times New Roman"/>
          <w:color w:val="000000"/>
          <w:sz w:val="28"/>
          <w:szCs w:val="28"/>
          <w:lang w:val="en-US"/>
        </w:rPr>
        <w:t xml:space="preserve">: rock art, art, archaeological heritage, anthropology, cultural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5D250D">
        <w:rPr>
          <w:rFonts w:ascii="Times New Roman" w:hAnsi="Times New Roman"/>
          <w:color w:val="000000"/>
          <w:sz w:val="28"/>
          <w:szCs w:val="28"/>
          <w:lang w:val="en-US"/>
        </w:rPr>
        <w:t>enesis.</w:t>
      </w:r>
    </w:p>
    <w:p w14:paraId="2EEAAD19" w14:textId="77777777" w:rsidR="005D250D" w:rsidRPr="005D250D" w:rsidRDefault="005D250D" w:rsidP="00B23C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highlight w:val="white"/>
          <w:lang w:val="en-US" w:eastAsia="ru-RU"/>
        </w:rPr>
      </w:pPr>
    </w:p>
    <w:p w14:paraId="198D647B" w14:textId="6736731A" w:rsidR="0072058D" w:rsidRPr="0072058D" w:rsidRDefault="0072058D" w:rsidP="00B23C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Кафедра философии религии и религиоведения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</w:t>
      </w:r>
    </w:p>
    <w:p w14:paraId="24893A1D" w14:textId="77777777" w:rsidR="0072058D" w:rsidRPr="0072058D" w:rsidRDefault="0072058D" w:rsidP="00B23C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Институт философии</w:t>
      </w: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 xml:space="preserve"> </w:t>
      </w:r>
    </w:p>
    <w:p w14:paraId="34B668AF" w14:textId="0A9F83A0" w:rsidR="0072058D" w:rsidRPr="0072058D" w:rsidRDefault="0072058D" w:rsidP="00B23C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</w:pPr>
      <w:r w:rsidRPr="0072058D">
        <w:rPr>
          <w:rFonts w:ascii="Times New Roman" w:eastAsia="Times New Roman" w:hAnsi="Times New Roman"/>
          <w:sz w:val="28"/>
          <w:szCs w:val="28"/>
          <w:highlight w:val="white"/>
          <w:lang w:val="ru" w:eastAsia="ru-RU"/>
        </w:rPr>
        <w:t>Санкт-Петербургский государственный университет</w:t>
      </w:r>
    </w:p>
    <w:p w14:paraId="39D7AA73" w14:textId="6233F344" w:rsidR="006435A4" w:rsidRPr="0072058D" w:rsidRDefault="006435A4" w:rsidP="00B23C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058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Поступила в редакцию </w:t>
      </w:r>
      <w:r w:rsidR="00857E7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7205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F98" w:rsidRPr="0072058D"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r w:rsidR="00857E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2058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97691" w:rsidRPr="007205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01798" w:rsidRPr="007205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6435A4" w:rsidRPr="0072058D" w:rsidSect="000A2B9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2EFAF" w14:textId="77777777" w:rsidR="000363ED" w:rsidRDefault="000363ED">
      <w:r>
        <w:separator/>
      </w:r>
    </w:p>
  </w:endnote>
  <w:endnote w:type="continuationSeparator" w:id="0">
    <w:p w14:paraId="450EC9E2" w14:textId="77777777" w:rsidR="000363ED" w:rsidRDefault="0003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94A7" w14:textId="77777777" w:rsidR="00872A0F" w:rsidRDefault="00872A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9BCCAB" w14:textId="77777777" w:rsidR="00872A0F" w:rsidRDefault="00872A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4635" w14:textId="77777777" w:rsidR="00872A0F" w:rsidRDefault="00872A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1F158DD" w14:textId="77777777" w:rsidR="00872A0F" w:rsidRDefault="00872A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317C" w14:textId="77777777" w:rsidR="00872A0F" w:rsidRDefault="00872A0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C1E4" w14:textId="77777777" w:rsidR="000363ED" w:rsidRDefault="000363ED">
      <w:r>
        <w:separator/>
      </w:r>
    </w:p>
  </w:footnote>
  <w:footnote w:type="continuationSeparator" w:id="0">
    <w:p w14:paraId="5D8D89A2" w14:textId="77777777" w:rsidR="000363ED" w:rsidRDefault="000363ED">
      <w:r>
        <w:continuationSeparator/>
      </w:r>
    </w:p>
  </w:footnote>
  <w:footnote w:id="1">
    <w:p w14:paraId="043B1090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См.: </w:t>
      </w:r>
      <w:r>
        <w:rPr>
          <w:i/>
          <w:sz w:val="20"/>
          <w:szCs w:val="20"/>
        </w:rPr>
        <w:t xml:space="preserve">Аверинцев </w:t>
      </w:r>
      <w:proofErr w:type="spellStart"/>
      <w:proofErr w:type="gramStart"/>
      <w:r>
        <w:rPr>
          <w:i/>
          <w:sz w:val="20"/>
          <w:szCs w:val="20"/>
        </w:rPr>
        <w:t>С.С</w:t>
      </w:r>
      <w:proofErr w:type="gram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>Поэтика</w:t>
      </w:r>
      <w:proofErr w:type="spellEnd"/>
      <w:r>
        <w:rPr>
          <w:sz w:val="20"/>
          <w:szCs w:val="20"/>
        </w:rPr>
        <w:t xml:space="preserve"> ранневизантийской литературы. </w:t>
      </w:r>
      <w:r>
        <w:rPr>
          <w:color w:val="222222"/>
          <w:sz w:val="20"/>
          <w:szCs w:val="20"/>
          <w:highlight w:val="white"/>
        </w:rPr>
        <w:t>—  М., 1997. — С. 30 и далее.</w:t>
      </w:r>
    </w:p>
  </w:footnote>
  <w:footnote w:id="2">
    <w:p w14:paraId="68F70547" w14:textId="77777777" w:rsidR="0072058D" w:rsidRDefault="0072058D" w:rsidP="0072058D">
      <w:pPr>
        <w:spacing w:line="240" w:lineRule="auto"/>
        <w:rPr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 xml:space="preserve">Подробнее см.: </w:t>
      </w:r>
      <w:r>
        <w:rPr>
          <w:i/>
          <w:sz w:val="20"/>
          <w:szCs w:val="20"/>
          <w:highlight w:val="white"/>
        </w:rPr>
        <w:t>Шер Я.А.</w:t>
      </w:r>
      <w:r>
        <w:rPr>
          <w:sz w:val="20"/>
          <w:szCs w:val="20"/>
          <w:highlight w:val="white"/>
        </w:rPr>
        <w:t xml:space="preserve"> Как и когда возникло искусство? //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 xml:space="preserve">фрагмент книги: Археология изнутри. Научно-популярные очерки // Кемерово: КГУ. 2009. 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>— antropogenez.ru/</w:t>
      </w:r>
      <w:proofErr w:type="spellStart"/>
      <w:r>
        <w:rPr>
          <w:color w:val="222222"/>
          <w:sz w:val="20"/>
          <w:szCs w:val="20"/>
          <w:highlight w:val="white"/>
        </w:rPr>
        <w:t>article</w:t>
      </w:r>
      <w:proofErr w:type="spellEnd"/>
      <w:r>
        <w:rPr>
          <w:color w:val="222222"/>
          <w:sz w:val="20"/>
          <w:szCs w:val="20"/>
          <w:highlight w:val="white"/>
        </w:rPr>
        <w:t>/189/</w:t>
      </w:r>
    </w:p>
    <w:p w14:paraId="679271FF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. </w:t>
      </w:r>
    </w:p>
  </w:footnote>
  <w:footnote w:id="3">
    <w:p w14:paraId="782C317A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Лиотар</w:t>
      </w:r>
      <w:proofErr w:type="spellEnd"/>
      <w:r>
        <w:rPr>
          <w:i/>
          <w:sz w:val="20"/>
          <w:szCs w:val="20"/>
        </w:rPr>
        <w:t xml:space="preserve"> Ж.-Ф. </w:t>
      </w:r>
      <w:proofErr w:type="spellStart"/>
      <w:r>
        <w:rPr>
          <w:sz w:val="20"/>
          <w:szCs w:val="20"/>
        </w:rPr>
        <w:t>Anima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minima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 xml:space="preserve">// Приложение к работе </w:t>
      </w:r>
      <w:proofErr w:type="spellStart"/>
      <w:r>
        <w:rPr>
          <w:i/>
          <w:sz w:val="20"/>
          <w:szCs w:val="20"/>
          <w:highlight w:val="white"/>
        </w:rPr>
        <w:t>Рансьера</w:t>
      </w:r>
      <w:proofErr w:type="spellEnd"/>
      <w:r>
        <w:rPr>
          <w:i/>
          <w:sz w:val="20"/>
          <w:szCs w:val="20"/>
          <w:highlight w:val="white"/>
        </w:rPr>
        <w:t xml:space="preserve"> Ж. </w:t>
      </w:r>
      <w:r>
        <w:rPr>
          <w:sz w:val="20"/>
          <w:szCs w:val="20"/>
          <w:highlight w:val="white"/>
        </w:rPr>
        <w:t>Эстетическое бессознательное</w:t>
      </w:r>
      <w:r>
        <w:rPr>
          <w:sz w:val="20"/>
          <w:szCs w:val="20"/>
        </w:rPr>
        <w:t xml:space="preserve">. </w:t>
      </w:r>
      <w:r>
        <w:rPr>
          <w:color w:val="222222"/>
          <w:sz w:val="20"/>
          <w:szCs w:val="20"/>
          <w:highlight w:val="white"/>
        </w:rPr>
        <w:t>—  М., 2004. — С. 92.</w:t>
      </w:r>
    </w:p>
  </w:footnote>
  <w:footnote w:id="4">
    <w:p w14:paraId="52732076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А именно: “ &lt;...&gt; </w:t>
      </w:r>
      <w:r>
        <w:rPr>
          <w:sz w:val="21"/>
          <w:szCs w:val="21"/>
          <w:highlight w:val="white"/>
        </w:rPr>
        <w:t xml:space="preserve">резьба по кости, гравированные и раскрашенные гальки, каменные плиты разных размеров с гравированными и процарапанными рисунками, объемную скульптуру из бивня мамонта и мягкого камня, в редких случаях - из обожженной глины, а также различные украшения” </w:t>
      </w:r>
      <w:r>
        <w:rPr>
          <w:color w:val="222222"/>
          <w:sz w:val="20"/>
          <w:szCs w:val="20"/>
          <w:highlight w:val="white"/>
        </w:rPr>
        <w:t xml:space="preserve">— по </w:t>
      </w:r>
      <w:r>
        <w:rPr>
          <w:i/>
          <w:sz w:val="20"/>
          <w:szCs w:val="20"/>
        </w:rPr>
        <w:t xml:space="preserve">Семёнов В.А. </w:t>
      </w:r>
      <w:r>
        <w:rPr>
          <w:color w:val="222222"/>
          <w:sz w:val="20"/>
          <w:szCs w:val="20"/>
          <w:highlight w:val="white"/>
        </w:rPr>
        <w:t xml:space="preserve">Первобытное искусство. Каменный век. Бронзовый век. Новая история </w:t>
      </w:r>
      <w:proofErr w:type="gramStart"/>
      <w:r>
        <w:rPr>
          <w:color w:val="222222"/>
          <w:sz w:val="20"/>
          <w:szCs w:val="20"/>
          <w:highlight w:val="white"/>
        </w:rPr>
        <w:t xml:space="preserve">искусства 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>—</w:t>
      </w:r>
      <w:proofErr w:type="gramEnd"/>
      <w:r>
        <w:rPr>
          <w:color w:val="222222"/>
          <w:sz w:val="20"/>
          <w:szCs w:val="20"/>
          <w:highlight w:val="white"/>
        </w:rPr>
        <w:t xml:space="preserve">  СПб., 2008.</w:t>
      </w:r>
    </w:p>
    <w:p w14:paraId="25B1348C" w14:textId="77777777" w:rsidR="0072058D" w:rsidRDefault="0072058D" w:rsidP="0072058D">
      <w:pPr>
        <w:spacing w:line="240" w:lineRule="auto"/>
        <w:rPr>
          <w:color w:val="222222"/>
          <w:sz w:val="20"/>
          <w:szCs w:val="20"/>
          <w:highlight w:val="white"/>
        </w:rPr>
      </w:pPr>
    </w:p>
  </w:footnote>
  <w:footnote w:id="5">
    <w:p w14:paraId="1A39A4FF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Алексеева В.П., </w:t>
      </w:r>
      <w:proofErr w:type="spellStart"/>
      <w:r>
        <w:rPr>
          <w:i/>
          <w:sz w:val="20"/>
          <w:szCs w:val="20"/>
        </w:rPr>
        <w:t>Першиц</w:t>
      </w:r>
      <w:proofErr w:type="spellEnd"/>
      <w:r>
        <w:rPr>
          <w:i/>
          <w:sz w:val="20"/>
          <w:szCs w:val="20"/>
        </w:rPr>
        <w:t xml:space="preserve"> А.И.</w:t>
      </w:r>
      <w:r>
        <w:rPr>
          <w:sz w:val="20"/>
          <w:szCs w:val="20"/>
        </w:rPr>
        <w:t xml:space="preserve"> История первобытного общества</w:t>
      </w:r>
      <w:r>
        <w:rPr>
          <w:color w:val="222222"/>
          <w:sz w:val="20"/>
          <w:szCs w:val="20"/>
          <w:highlight w:val="white"/>
        </w:rPr>
        <w:t xml:space="preserve">: Учебник для студентов вузов — М., 2007. — С. 200. </w:t>
      </w:r>
    </w:p>
  </w:footnote>
  <w:footnote w:id="6">
    <w:p w14:paraId="0CB8EF2D" w14:textId="3E747D0E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Столяр А.Д. </w:t>
      </w:r>
      <w:r>
        <w:rPr>
          <w:sz w:val="20"/>
          <w:szCs w:val="20"/>
        </w:rPr>
        <w:t xml:space="preserve">Происхождение изобразительного искусства </w:t>
      </w:r>
      <w:r>
        <w:rPr>
          <w:color w:val="222222"/>
          <w:sz w:val="20"/>
          <w:szCs w:val="20"/>
          <w:highlight w:val="white"/>
        </w:rPr>
        <w:t xml:space="preserve">— М., 1985. — С. 14 и далее. </w:t>
      </w:r>
    </w:p>
  </w:footnote>
  <w:footnote w:id="7">
    <w:p w14:paraId="2DBC49C5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Алексеева В.П., </w:t>
      </w:r>
      <w:proofErr w:type="spellStart"/>
      <w:r>
        <w:rPr>
          <w:i/>
          <w:sz w:val="20"/>
          <w:szCs w:val="20"/>
        </w:rPr>
        <w:t>Першиц</w:t>
      </w:r>
      <w:proofErr w:type="spellEnd"/>
      <w:r>
        <w:rPr>
          <w:i/>
          <w:sz w:val="20"/>
          <w:szCs w:val="20"/>
        </w:rPr>
        <w:t xml:space="preserve"> А.И.</w:t>
      </w:r>
      <w:r>
        <w:rPr>
          <w:sz w:val="20"/>
          <w:szCs w:val="20"/>
        </w:rPr>
        <w:t xml:space="preserve"> История первобытного общества</w:t>
      </w:r>
      <w:r>
        <w:rPr>
          <w:color w:val="222222"/>
          <w:sz w:val="20"/>
          <w:szCs w:val="20"/>
          <w:highlight w:val="white"/>
        </w:rPr>
        <w:t>: Учебник для студентов вузов — М., 2007. — С. 200.</w:t>
      </w:r>
    </w:p>
  </w:footnote>
  <w:footnote w:id="8">
    <w:p w14:paraId="2B66DBCA" w14:textId="7E350735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Семёнов В.А. </w:t>
      </w:r>
      <w:r>
        <w:rPr>
          <w:color w:val="222222"/>
          <w:sz w:val="20"/>
          <w:szCs w:val="20"/>
          <w:highlight w:val="white"/>
        </w:rPr>
        <w:t>Первобытное искусство. Каменный век. Бронзовый век. Новая история искусства — СПб., 2008.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 xml:space="preserve">— С. 51.  </w:t>
      </w:r>
    </w:p>
  </w:footnote>
  <w:footnote w:id="9">
    <w:p w14:paraId="240AAA54" w14:textId="77777777" w:rsidR="0072058D" w:rsidRDefault="0072058D" w:rsidP="0072058D">
      <w:pPr>
        <w:spacing w:line="240" w:lineRule="auto"/>
        <w:rPr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>Шер Я.А.</w:t>
      </w:r>
      <w:r>
        <w:rPr>
          <w:sz w:val="20"/>
          <w:szCs w:val="20"/>
          <w:highlight w:val="white"/>
        </w:rPr>
        <w:t xml:space="preserve"> Как и когда возникло искусство? //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 xml:space="preserve">фрагмент книги: Археология изнутри. Научно-популярные очерки // Кемерово: КГУ. 2009. 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>Ист.: antropogenez.ru/</w:t>
      </w:r>
      <w:proofErr w:type="spellStart"/>
      <w:r>
        <w:rPr>
          <w:color w:val="222222"/>
          <w:sz w:val="20"/>
          <w:szCs w:val="20"/>
          <w:highlight w:val="white"/>
        </w:rPr>
        <w:t>article</w:t>
      </w:r>
      <w:proofErr w:type="spellEnd"/>
      <w:r>
        <w:rPr>
          <w:color w:val="222222"/>
          <w:sz w:val="20"/>
          <w:szCs w:val="20"/>
          <w:highlight w:val="white"/>
        </w:rPr>
        <w:t>/189/</w:t>
      </w:r>
    </w:p>
    <w:p w14:paraId="4835191B" w14:textId="77777777" w:rsidR="0072058D" w:rsidRDefault="0072058D" w:rsidP="0072058D">
      <w:pPr>
        <w:spacing w:line="240" w:lineRule="auto"/>
        <w:rPr>
          <w:sz w:val="20"/>
          <w:szCs w:val="20"/>
        </w:rPr>
      </w:pPr>
    </w:p>
  </w:footnote>
  <w:footnote w:id="10">
    <w:p w14:paraId="3810EA50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Ibid</w:t>
      </w:r>
      <w:proofErr w:type="spellEnd"/>
      <w:r>
        <w:rPr>
          <w:sz w:val="20"/>
          <w:szCs w:val="20"/>
        </w:rPr>
        <w:t>.</w:t>
      </w:r>
    </w:p>
  </w:footnote>
  <w:footnote w:id="11">
    <w:p w14:paraId="7BF9E02B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Добрышевский</w:t>
      </w:r>
      <w:proofErr w:type="spellEnd"/>
      <w:r>
        <w:rPr>
          <w:i/>
          <w:sz w:val="20"/>
          <w:szCs w:val="20"/>
        </w:rPr>
        <w:t xml:space="preserve"> С.В.</w:t>
      </w:r>
      <w:r>
        <w:rPr>
          <w:sz w:val="20"/>
          <w:szCs w:val="20"/>
        </w:rPr>
        <w:t xml:space="preserve"> Искусство верхнего палеолита</w:t>
      </w:r>
      <w:r>
        <w:rPr>
          <w:sz w:val="20"/>
          <w:szCs w:val="20"/>
          <w:highlight w:val="white"/>
        </w:rPr>
        <w:t xml:space="preserve"> //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 xml:space="preserve">фрагмент книги: Достающее </w:t>
      </w:r>
      <w:proofErr w:type="gramStart"/>
      <w:r>
        <w:rPr>
          <w:sz w:val="20"/>
          <w:szCs w:val="20"/>
          <w:highlight w:val="white"/>
        </w:rPr>
        <w:t>звено  /</w:t>
      </w:r>
      <w:proofErr w:type="gramEnd"/>
      <w:r>
        <w:rPr>
          <w:sz w:val="20"/>
          <w:szCs w:val="20"/>
          <w:highlight w:val="white"/>
        </w:rPr>
        <w:t>/ М.</w:t>
      </w:r>
      <w:r>
        <w:rPr>
          <w:color w:val="222222"/>
          <w:sz w:val="20"/>
          <w:szCs w:val="20"/>
          <w:highlight w:val="white"/>
        </w:rPr>
        <w:t xml:space="preserve">, 2017. </w:t>
      </w:r>
      <w:proofErr w:type="spellStart"/>
      <w:r>
        <w:rPr>
          <w:color w:val="222222"/>
          <w:sz w:val="20"/>
          <w:szCs w:val="20"/>
          <w:highlight w:val="white"/>
        </w:rPr>
        <w:t>Ист</w:t>
      </w:r>
      <w:proofErr w:type="spellEnd"/>
      <w:r>
        <w:rPr>
          <w:color w:val="222222"/>
          <w:sz w:val="20"/>
          <w:szCs w:val="20"/>
          <w:highlight w:val="white"/>
        </w:rPr>
        <w:t>: antropogenez.ru/</w:t>
      </w:r>
      <w:proofErr w:type="spellStart"/>
      <w:r>
        <w:rPr>
          <w:color w:val="222222"/>
          <w:sz w:val="20"/>
          <w:szCs w:val="20"/>
          <w:highlight w:val="white"/>
        </w:rPr>
        <w:t>zveno-single</w:t>
      </w:r>
      <w:proofErr w:type="spellEnd"/>
      <w:r>
        <w:rPr>
          <w:color w:val="222222"/>
          <w:sz w:val="20"/>
          <w:szCs w:val="20"/>
          <w:highlight w:val="white"/>
        </w:rPr>
        <w:t>/140/</w:t>
      </w:r>
    </w:p>
  </w:footnote>
  <w:footnote w:id="12">
    <w:p w14:paraId="3C19BB0C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по </w:t>
      </w:r>
      <w:proofErr w:type="spellStart"/>
      <w:r>
        <w:rPr>
          <w:i/>
          <w:sz w:val="20"/>
          <w:szCs w:val="20"/>
        </w:rPr>
        <w:t>Семёнову</w:t>
      </w:r>
      <w:proofErr w:type="spellEnd"/>
      <w:r>
        <w:rPr>
          <w:i/>
          <w:sz w:val="20"/>
          <w:szCs w:val="20"/>
        </w:rPr>
        <w:t xml:space="preserve"> В.А.</w:t>
      </w:r>
    </w:p>
  </w:footnote>
  <w:footnote w:id="13">
    <w:p w14:paraId="4DD533A6" w14:textId="4D66C030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Добрышевский</w:t>
      </w:r>
      <w:proofErr w:type="spellEnd"/>
      <w:r>
        <w:rPr>
          <w:i/>
          <w:sz w:val="20"/>
          <w:szCs w:val="20"/>
        </w:rPr>
        <w:t xml:space="preserve"> С.В.</w:t>
      </w:r>
      <w:r>
        <w:rPr>
          <w:sz w:val="20"/>
          <w:szCs w:val="20"/>
        </w:rPr>
        <w:t xml:space="preserve"> Искусство верхнего палеолита</w:t>
      </w:r>
      <w:r>
        <w:rPr>
          <w:sz w:val="20"/>
          <w:szCs w:val="20"/>
          <w:highlight w:val="white"/>
        </w:rPr>
        <w:t xml:space="preserve"> //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фрагмент книги: Достающее звено</w:t>
      </w:r>
      <w:r w:rsidR="006D42F2" w:rsidRPr="006D42F2">
        <w:rPr>
          <w:sz w:val="20"/>
          <w:szCs w:val="20"/>
          <w:highlight w:val="white"/>
        </w:rPr>
        <w:t>9333</w:t>
      </w:r>
      <w:r>
        <w:rPr>
          <w:sz w:val="20"/>
          <w:szCs w:val="20"/>
          <w:highlight w:val="white"/>
        </w:rPr>
        <w:t xml:space="preserve"> // М.</w:t>
      </w:r>
      <w:r>
        <w:rPr>
          <w:color w:val="222222"/>
          <w:sz w:val="20"/>
          <w:szCs w:val="20"/>
          <w:highlight w:val="white"/>
        </w:rPr>
        <w:t>, 2017. Ист.: antropogenez.ru/</w:t>
      </w:r>
      <w:proofErr w:type="spellStart"/>
      <w:r>
        <w:rPr>
          <w:color w:val="222222"/>
          <w:sz w:val="20"/>
          <w:szCs w:val="20"/>
          <w:highlight w:val="white"/>
        </w:rPr>
        <w:t>zveno-single</w:t>
      </w:r>
      <w:proofErr w:type="spellEnd"/>
      <w:r>
        <w:rPr>
          <w:color w:val="222222"/>
          <w:sz w:val="20"/>
          <w:szCs w:val="20"/>
          <w:highlight w:val="white"/>
        </w:rPr>
        <w:t>/140/</w:t>
      </w:r>
    </w:p>
  </w:footnote>
  <w:footnote w:id="14">
    <w:p w14:paraId="072B58FA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здесь и далее текст опирается на работу </w:t>
      </w:r>
      <w:r>
        <w:rPr>
          <w:i/>
          <w:sz w:val="20"/>
          <w:szCs w:val="20"/>
        </w:rPr>
        <w:t xml:space="preserve">Семёнов В.А. </w:t>
      </w:r>
      <w:r>
        <w:rPr>
          <w:color w:val="222222"/>
          <w:sz w:val="20"/>
          <w:szCs w:val="20"/>
          <w:highlight w:val="white"/>
        </w:rPr>
        <w:t>Первобытное искусство ...</w:t>
      </w:r>
    </w:p>
  </w:footnote>
  <w:footnote w:id="15">
    <w:p w14:paraId="250110FD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из тех, где встречаются артефакты четвертичного искусства какого-либо характера.</w:t>
      </w:r>
    </w:p>
  </w:footnote>
  <w:footnote w:id="16">
    <w:p w14:paraId="34F58D28" w14:textId="4FCE2F4F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Семёнов В.А. </w:t>
      </w:r>
      <w:r>
        <w:rPr>
          <w:color w:val="222222"/>
          <w:sz w:val="20"/>
          <w:szCs w:val="20"/>
          <w:highlight w:val="white"/>
        </w:rPr>
        <w:t>Первобытное искусство...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>— СПб., 2008.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>— С. 40.</w:t>
      </w:r>
    </w:p>
  </w:footnote>
  <w:footnote w:id="17">
    <w:p w14:paraId="4B3509CD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например, пары пещер </w:t>
      </w:r>
      <w:proofErr w:type="spellStart"/>
      <w:r>
        <w:rPr>
          <w:sz w:val="20"/>
          <w:szCs w:val="20"/>
        </w:rPr>
        <w:t>Энлен</w:t>
      </w:r>
      <w:proofErr w:type="spellEnd"/>
      <w:r>
        <w:rPr>
          <w:sz w:val="20"/>
          <w:szCs w:val="20"/>
        </w:rPr>
        <w:t xml:space="preserve"> и Труа-</w:t>
      </w:r>
      <w:proofErr w:type="spellStart"/>
      <w:r>
        <w:rPr>
          <w:sz w:val="20"/>
          <w:szCs w:val="20"/>
        </w:rPr>
        <w:t>Фрер</w:t>
      </w:r>
      <w:proofErr w:type="spellEnd"/>
      <w:r>
        <w:rPr>
          <w:sz w:val="20"/>
          <w:szCs w:val="20"/>
        </w:rPr>
        <w:t xml:space="preserve">, и </w:t>
      </w:r>
      <w:proofErr w:type="spellStart"/>
      <w:r>
        <w:rPr>
          <w:sz w:val="20"/>
          <w:szCs w:val="20"/>
        </w:rPr>
        <w:t>Нио</w:t>
      </w:r>
      <w:proofErr w:type="spellEnd"/>
      <w:r>
        <w:rPr>
          <w:sz w:val="20"/>
          <w:szCs w:val="20"/>
        </w:rPr>
        <w:t xml:space="preserve"> с Ла-Ваш, соответственно.</w:t>
      </w:r>
    </w:p>
  </w:footnote>
  <w:footnote w:id="18">
    <w:p w14:paraId="4CC5E83F" w14:textId="0EAC127E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Семёнов В.А. </w:t>
      </w:r>
      <w:r>
        <w:rPr>
          <w:color w:val="222222"/>
          <w:sz w:val="20"/>
          <w:szCs w:val="20"/>
          <w:highlight w:val="white"/>
        </w:rPr>
        <w:t>Первобытное искусство...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>— СПб., 2008.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  <w:highlight w:val="white"/>
        </w:rPr>
        <w:t xml:space="preserve">— С. 70. </w:t>
      </w:r>
    </w:p>
  </w:footnote>
  <w:footnote w:id="19">
    <w:p w14:paraId="5F6B8C81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Ibid</w:t>
      </w:r>
      <w:proofErr w:type="spellEnd"/>
      <w:r>
        <w:rPr>
          <w:sz w:val="20"/>
          <w:szCs w:val="20"/>
        </w:rPr>
        <w:t>., 94</w:t>
      </w:r>
    </w:p>
  </w:footnote>
  <w:footnote w:id="20">
    <w:p w14:paraId="3BFA25FA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Ibid</w:t>
      </w:r>
      <w:proofErr w:type="spellEnd"/>
      <w:r>
        <w:rPr>
          <w:sz w:val="20"/>
          <w:szCs w:val="20"/>
        </w:rPr>
        <w:t>., 93</w:t>
      </w:r>
    </w:p>
  </w:footnote>
  <w:footnote w:id="21">
    <w:p w14:paraId="068FBDFE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Ibid</w:t>
      </w:r>
      <w:proofErr w:type="spellEnd"/>
      <w:r>
        <w:rPr>
          <w:sz w:val="20"/>
          <w:szCs w:val="20"/>
        </w:rPr>
        <w:t>., 93.</w:t>
      </w:r>
    </w:p>
  </w:footnote>
  <w:footnote w:id="22">
    <w:p w14:paraId="53786867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Ibid</w:t>
      </w:r>
      <w:proofErr w:type="spellEnd"/>
      <w:r>
        <w:rPr>
          <w:sz w:val="20"/>
          <w:szCs w:val="20"/>
        </w:rPr>
        <w:t>., 96.</w:t>
      </w:r>
    </w:p>
  </w:footnote>
  <w:footnote w:id="23">
    <w:p w14:paraId="4D4A1AEC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Столяр А.Д. </w:t>
      </w:r>
      <w:r>
        <w:rPr>
          <w:sz w:val="20"/>
          <w:szCs w:val="20"/>
        </w:rPr>
        <w:t xml:space="preserve">Происхождение изобразительного искусства </w:t>
      </w:r>
      <w:r>
        <w:rPr>
          <w:color w:val="222222"/>
          <w:sz w:val="20"/>
          <w:szCs w:val="20"/>
          <w:highlight w:val="white"/>
        </w:rPr>
        <w:t>— М., 1985. — 258.</w:t>
      </w:r>
    </w:p>
  </w:footnote>
  <w:footnote w:id="24">
    <w:p w14:paraId="2EF7B1F7" w14:textId="77777777" w:rsidR="0072058D" w:rsidRDefault="0072058D" w:rsidP="0072058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Ibid</w:t>
      </w:r>
      <w:proofErr w:type="spellEnd"/>
      <w:r>
        <w:rPr>
          <w:sz w:val="20"/>
          <w:szCs w:val="20"/>
        </w:rPr>
        <w:t>., 258.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D6D" w14:textId="77777777" w:rsidR="00872A0F" w:rsidRPr="008E2EF6" w:rsidRDefault="00872A0F" w:rsidP="008E2EF6">
    <w:pPr>
      <w:pStyle w:val="a8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 w:rsidRPr="008E2EF6"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14:paraId="5BC3CAF4" w14:textId="77777777" w:rsidR="00872A0F" w:rsidRPr="008E2EF6" w:rsidRDefault="00872A0F" w:rsidP="008E2EF6">
    <w:pPr>
      <w:pStyle w:val="a8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14:paraId="014DE0DD" w14:textId="77777777" w:rsidR="00872A0F" w:rsidRPr="008E2EF6" w:rsidRDefault="00872A0F" w:rsidP="008E2EF6">
    <w:pPr>
      <w:pStyle w:val="a8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8</w:t>
    </w:r>
    <w:r w:rsidRPr="008E2EF6">
      <w:rPr>
        <w:rFonts w:ascii="Times New Roman" w:hAnsi="Times New Roman"/>
        <w:b/>
        <w:bCs/>
        <w:sz w:val="18"/>
      </w:rPr>
      <w:t xml:space="preserve">. </w:t>
    </w:r>
    <w:proofErr w:type="spellStart"/>
    <w:r w:rsidRPr="008E2EF6">
      <w:rPr>
        <w:rFonts w:ascii="Times New Roman" w:hAnsi="Times New Roman"/>
        <w:b/>
        <w:bCs/>
        <w:sz w:val="18"/>
      </w:rPr>
      <w:t>Вып</w:t>
    </w:r>
    <w:proofErr w:type="spellEnd"/>
    <w:r w:rsidRPr="008E2EF6">
      <w:rPr>
        <w:rFonts w:ascii="Times New Roman" w:hAnsi="Times New Roman"/>
        <w:b/>
        <w:bCs/>
        <w:sz w:val="18"/>
      </w:rPr>
      <w:t xml:space="preserve">. </w:t>
    </w:r>
    <w:r w:rsidR="00970F8C">
      <w:rPr>
        <w:rFonts w:ascii="Times New Roman" w:hAnsi="Times New Roman"/>
        <w:b/>
        <w:bCs/>
        <w:sz w:val="18"/>
      </w:rPr>
      <w:t>4</w:t>
    </w:r>
    <w:r w:rsidRPr="008E2EF6">
      <w:rPr>
        <w:rFonts w:ascii="Times New Roman" w:hAnsi="Times New Roman"/>
        <w:b/>
        <w:bCs/>
        <w:sz w:val="18"/>
      </w:rPr>
      <w:t>. 201</w:t>
    </w:r>
    <w:r>
      <w:rPr>
        <w:rFonts w:ascii="Times New Roman" w:hAnsi="Times New Roman"/>
        <w:b/>
        <w:bCs/>
        <w:sz w:val="18"/>
        <w:lang w:val="en-US"/>
      </w:rPr>
      <w:t>9</w:t>
    </w:r>
    <w:r w:rsidRPr="008E2EF6">
      <w:rPr>
        <w:rFonts w:ascii="Times New Roman" w:hAnsi="Times New Roman"/>
        <w:b/>
        <w:bCs/>
        <w:sz w:val="18"/>
      </w:rPr>
      <w:t xml:space="preserve">. </w:t>
    </w:r>
  </w:p>
  <w:p w14:paraId="23B8392E" w14:textId="77777777" w:rsidR="00872A0F" w:rsidRPr="008E2EF6" w:rsidRDefault="00872A0F" w:rsidP="008E2EF6">
    <w:pPr>
      <w:pStyle w:val="a6"/>
      <w:spacing w:after="0" w:line="240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5A3A" w14:textId="77777777" w:rsidR="00872A0F" w:rsidRPr="008E2EF6" w:rsidRDefault="00872A0F" w:rsidP="008E2EF6">
    <w:pPr>
      <w:pStyle w:val="a8"/>
      <w:spacing w:before="0" w:beforeAutospacing="0" w:after="0" w:afterAutospacing="0" w:line="240" w:lineRule="auto"/>
      <w:jc w:val="center"/>
      <w:rPr>
        <w:rFonts w:ascii="Times New Roman" w:eastAsia="Arial Unicode MS" w:hAnsi="Times New Roman"/>
        <w:b/>
        <w:bCs/>
        <w:color w:val="auto"/>
        <w:sz w:val="18"/>
      </w:rPr>
    </w:pPr>
    <w:r w:rsidRPr="008E2EF6">
      <w:rPr>
        <w:rFonts w:ascii="Times New Roman" w:hAnsi="Times New Roman"/>
        <w:b/>
        <w:bCs/>
        <w:color w:val="auto"/>
        <w:sz w:val="18"/>
        <w:szCs w:val="20"/>
      </w:rPr>
      <w:t>Математическая морфология.</w:t>
    </w:r>
  </w:p>
  <w:p w14:paraId="77F158EE" w14:textId="77777777" w:rsidR="00872A0F" w:rsidRPr="008E2EF6" w:rsidRDefault="00872A0F" w:rsidP="008E2EF6">
    <w:pPr>
      <w:pStyle w:val="a8"/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 xml:space="preserve">Электронный математический и медико-биологический журнал.  </w:t>
    </w:r>
  </w:p>
  <w:p w14:paraId="00ED9807" w14:textId="77777777" w:rsidR="00872A0F" w:rsidRPr="008E2EF6" w:rsidRDefault="00872A0F" w:rsidP="008E2EF6">
    <w:pPr>
      <w:pStyle w:val="a8"/>
      <w:pBdr>
        <w:bottom w:val="single" w:sz="6" w:space="1" w:color="auto"/>
      </w:pBdr>
      <w:spacing w:before="0" w:beforeAutospacing="0" w:after="0" w:afterAutospacing="0" w:line="240" w:lineRule="auto"/>
      <w:jc w:val="center"/>
      <w:rPr>
        <w:rFonts w:ascii="Times New Roman" w:hAnsi="Times New Roman"/>
        <w:b/>
        <w:bCs/>
        <w:sz w:val="18"/>
      </w:rPr>
    </w:pPr>
    <w:r w:rsidRPr="008E2EF6">
      <w:rPr>
        <w:rFonts w:ascii="Times New Roman" w:hAnsi="Times New Roman"/>
        <w:b/>
        <w:bCs/>
        <w:sz w:val="18"/>
      </w:rPr>
      <w:t>Том 1</w:t>
    </w:r>
    <w:r>
      <w:rPr>
        <w:rFonts w:ascii="Times New Roman" w:hAnsi="Times New Roman"/>
        <w:b/>
        <w:bCs/>
        <w:sz w:val="18"/>
        <w:lang w:val="en-US"/>
      </w:rPr>
      <w:t>8</w:t>
    </w:r>
    <w:r w:rsidRPr="008E2EF6">
      <w:rPr>
        <w:rFonts w:ascii="Times New Roman" w:hAnsi="Times New Roman"/>
        <w:b/>
        <w:bCs/>
        <w:sz w:val="18"/>
      </w:rPr>
      <w:t xml:space="preserve">. </w:t>
    </w:r>
    <w:proofErr w:type="spellStart"/>
    <w:r w:rsidRPr="008E2EF6">
      <w:rPr>
        <w:rFonts w:ascii="Times New Roman" w:hAnsi="Times New Roman"/>
        <w:b/>
        <w:bCs/>
        <w:sz w:val="18"/>
      </w:rPr>
      <w:t>Вып</w:t>
    </w:r>
    <w:proofErr w:type="spellEnd"/>
    <w:r w:rsidRPr="008E2EF6">
      <w:rPr>
        <w:rFonts w:ascii="Times New Roman" w:hAnsi="Times New Roman"/>
        <w:b/>
        <w:bCs/>
        <w:sz w:val="18"/>
      </w:rPr>
      <w:t xml:space="preserve">. </w:t>
    </w:r>
    <w:r w:rsidR="00970F8C">
      <w:rPr>
        <w:rFonts w:ascii="Times New Roman" w:hAnsi="Times New Roman"/>
        <w:b/>
        <w:bCs/>
        <w:sz w:val="18"/>
      </w:rPr>
      <w:t>4</w:t>
    </w:r>
    <w:r w:rsidRPr="008E2EF6">
      <w:rPr>
        <w:rFonts w:ascii="Times New Roman" w:hAnsi="Times New Roman"/>
        <w:b/>
        <w:bCs/>
        <w:sz w:val="18"/>
      </w:rPr>
      <w:t>. 20</w:t>
    </w:r>
    <w:r w:rsidRPr="008E2EF6">
      <w:rPr>
        <w:rFonts w:ascii="Times New Roman" w:hAnsi="Times New Roman"/>
        <w:b/>
        <w:bCs/>
        <w:sz w:val="18"/>
        <w:lang w:val="en-US"/>
      </w:rPr>
      <w:t>1</w:t>
    </w:r>
    <w:r>
      <w:rPr>
        <w:rFonts w:ascii="Times New Roman" w:hAnsi="Times New Roman"/>
        <w:b/>
        <w:bCs/>
        <w:sz w:val="18"/>
        <w:lang w:val="en-US"/>
      </w:rPr>
      <w:t>9</w:t>
    </w:r>
    <w:r w:rsidRPr="008E2EF6">
      <w:rPr>
        <w:rFonts w:ascii="Times New Roman" w:hAnsi="Times New Roman"/>
        <w:b/>
        <w:bCs/>
        <w:sz w:val="18"/>
      </w:rPr>
      <w:t xml:space="preserve">. </w:t>
    </w:r>
  </w:p>
  <w:p w14:paraId="35EDF7DF" w14:textId="77777777" w:rsidR="00872A0F" w:rsidRPr="008E2EF6" w:rsidRDefault="00872A0F" w:rsidP="008E2EF6">
    <w:pPr>
      <w:pStyle w:val="a6"/>
      <w:tabs>
        <w:tab w:val="clear" w:pos="4677"/>
        <w:tab w:val="clear" w:pos="9355"/>
        <w:tab w:val="right" w:pos="-5812"/>
      </w:tabs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983"/>
    <w:multiLevelType w:val="hybridMultilevel"/>
    <w:tmpl w:val="4300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E1448"/>
    <w:multiLevelType w:val="hybridMultilevel"/>
    <w:tmpl w:val="2A08B9EA"/>
    <w:lvl w:ilvl="0" w:tplc="CA605140">
      <w:start w:val="1"/>
      <w:numFmt w:val="decimal"/>
      <w:lvlText w:val="%1."/>
      <w:lvlJc w:val="left"/>
      <w:pPr>
        <w:ind w:left="16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" w15:restartNumberingAfterBreak="0">
    <w:nsid w:val="0B044D53"/>
    <w:multiLevelType w:val="hybridMultilevel"/>
    <w:tmpl w:val="773CA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277968"/>
    <w:multiLevelType w:val="hybridMultilevel"/>
    <w:tmpl w:val="C5D87E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FAB462E"/>
    <w:multiLevelType w:val="hybridMultilevel"/>
    <w:tmpl w:val="DCD2181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0A2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E49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54F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549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A60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8CC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303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1D520C1B"/>
    <w:multiLevelType w:val="hybridMultilevel"/>
    <w:tmpl w:val="20C20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B82FA6"/>
    <w:multiLevelType w:val="hybridMultilevel"/>
    <w:tmpl w:val="E2A42AE0"/>
    <w:lvl w:ilvl="0" w:tplc="8C6C984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239A0583"/>
    <w:multiLevelType w:val="hybridMultilevel"/>
    <w:tmpl w:val="44A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1" w15:restartNumberingAfterBreak="0">
    <w:nsid w:val="2A5402D8"/>
    <w:multiLevelType w:val="hybridMultilevel"/>
    <w:tmpl w:val="A70C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5FB"/>
    <w:multiLevelType w:val="hybridMultilevel"/>
    <w:tmpl w:val="BE5428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40C5A"/>
    <w:multiLevelType w:val="hybridMultilevel"/>
    <w:tmpl w:val="9EC4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7551B"/>
    <w:multiLevelType w:val="hybridMultilevel"/>
    <w:tmpl w:val="EF902DF6"/>
    <w:lvl w:ilvl="0" w:tplc="7DA487F2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A182D"/>
    <w:multiLevelType w:val="hybridMultilevel"/>
    <w:tmpl w:val="5CAED7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62F81584"/>
    <w:multiLevelType w:val="hybridMultilevel"/>
    <w:tmpl w:val="280475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69E30023"/>
    <w:multiLevelType w:val="multilevel"/>
    <w:tmpl w:val="CD8AB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22369BC"/>
    <w:multiLevelType w:val="hybridMultilevel"/>
    <w:tmpl w:val="64127E18"/>
    <w:lvl w:ilvl="0" w:tplc="CCD0D5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72E46CC6"/>
    <w:multiLevelType w:val="hybridMultilevel"/>
    <w:tmpl w:val="7294F4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5"/>
  </w:num>
  <w:num w:numId="4">
    <w:abstractNumId w:val="16"/>
  </w:num>
  <w:num w:numId="5">
    <w:abstractNumId w:val="3"/>
  </w:num>
  <w:num w:numId="6">
    <w:abstractNumId w:val="9"/>
  </w:num>
  <w:num w:numId="7">
    <w:abstractNumId w:val="15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  <w:num w:numId="17">
    <w:abstractNumId w:val="1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85"/>
    <w:rsid w:val="00001798"/>
    <w:rsid w:val="00003A43"/>
    <w:rsid w:val="00006242"/>
    <w:rsid w:val="000071CD"/>
    <w:rsid w:val="000157FB"/>
    <w:rsid w:val="000226D6"/>
    <w:rsid w:val="00032732"/>
    <w:rsid w:val="00034429"/>
    <w:rsid w:val="000345D7"/>
    <w:rsid w:val="000363ED"/>
    <w:rsid w:val="00046963"/>
    <w:rsid w:val="000502EF"/>
    <w:rsid w:val="00051C40"/>
    <w:rsid w:val="00052205"/>
    <w:rsid w:val="00052B4A"/>
    <w:rsid w:val="000538D4"/>
    <w:rsid w:val="00054CA8"/>
    <w:rsid w:val="00055514"/>
    <w:rsid w:val="00062DB0"/>
    <w:rsid w:val="000668DC"/>
    <w:rsid w:val="00067320"/>
    <w:rsid w:val="00067AB0"/>
    <w:rsid w:val="000739DD"/>
    <w:rsid w:val="00087BDC"/>
    <w:rsid w:val="00092D84"/>
    <w:rsid w:val="00095163"/>
    <w:rsid w:val="000A2B96"/>
    <w:rsid w:val="000A715A"/>
    <w:rsid w:val="000B4362"/>
    <w:rsid w:val="000B45B1"/>
    <w:rsid w:val="000C4638"/>
    <w:rsid w:val="000D6612"/>
    <w:rsid w:val="000E409E"/>
    <w:rsid w:val="00100432"/>
    <w:rsid w:val="00100D99"/>
    <w:rsid w:val="00112B8F"/>
    <w:rsid w:val="00120E2E"/>
    <w:rsid w:val="001219D0"/>
    <w:rsid w:val="001423DB"/>
    <w:rsid w:val="00173BDC"/>
    <w:rsid w:val="001945C3"/>
    <w:rsid w:val="001A46DB"/>
    <w:rsid w:val="001B1767"/>
    <w:rsid w:val="001B376A"/>
    <w:rsid w:val="001C3C4F"/>
    <w:rsid w:val="001C4665"/>
    <w:rsid w:val="001C74E6"/>
    <w:rsid w:val="001E3078"/>
    <w:rsid w:val="001F23B5"/>
    <w:rsid w:val="001F5253"/>
    <w:rsid w:val="002125B2"/>
    <w:rsid w:val="002130F1"/>
    <w:rsid w:val="002240F5"/>
    <w:rsid w:val="00231B68"/>
    <w:rsid w:val="00240906"/>
    <w:rsid w:val="00241C7A"/>
    <w:rsid w:val="00243DAA"/>
    <w:rsid w:val="002453A2"/>
    <w:rsid w:val="00245C93"/>
    <w:rsid w:val="00252CAC"/>
    <w:rsid w:val="00274E8A"/>
    <w:rsid w:val="00274EE0"/>
    <w:rsid w:val="00275B86"/>
    <w:rsid w:val="0028769E"/>
    <w:rsid w:val="002A5FF2"/>
    <w:rsid w:val="002A6B32"/>
    <w:rsid w:val="002B1921"/>
    <w:rsid w:val="002B2508"/>
    <w:rsid w:val="002B5C05"/>
    <w:rsid w:val="002B77E2"/>
    <w:rsid w:val="002C2467"/>
    <w:rsid w:val="002C3D80"/>
    <w:rsid w:val="002C4ABC"/>
    <w:rsid w:val="002C7328"/>
    <w:rsid w:val="002D1B0C"/>
    <w:rsid w:val="002D2728"/>
    <w:rsid w:val="002D2AEA"/>
    <w:rsid w:val="002D30E6"/>
    <w:rsid w:val="002E2581"/>
    <w:rsid w:val="002E69BE"/>
    <w:rsid w:val="002E6F9F"/>
    <w:rsid w:val="002E720A"/>
    <w:rsid w:val="002F4C5B"/>
    <w:rsid w:val="002F5EB7"/>
    <w:rsid w:val="002F60FD"/>
    <w:rsid w:val="0030185C"/>
    <w:rsid w:val="003023DC"/>
    <w:rsid w:val="0030540B"/>
    <w:rsid w:val="00305E63"/>
    <w:rsid w:val="00305EA4"/>
    <w:rsid w:val="00306378"/>
    <w:rsid w:val="003074BC"/>
    <w:rsid w:val="00321B1A"/>
    <w:rsid w:val="00322F59"/>
    <w:rsid w:val="00341712"/>
    <w:rsid w:val="00341C00"/>
    <w:rsid w:val="0034463C"/>
    <w:rsid w:val="00362EA5"/>
    <w:rsid w:val="0036723B"/>
    <w:rsid w:val="003805A2"/>
    <w:rsid w:val="00393206"/>
    <w:rsid w:val="003A4048"/>
    <w:rsid w:val="003A4136"/>
    <w:rsid w:val="003A7B9C"/>
    <w:rsid w:val="003C5BF3"/>
    <w:rsid w:val="003D30EA"/>
    <w:rsid w:val="003E0457"/>
    <w:rsid w:val="003F2D04"/>
    <w:rsid w:val="003F5161"/>
    <w:rsid w:val="003F7AF7"/>
    <w:rsid w:val="00423D3E"/>
    <w:rsid w:val="00426007"/>
    <w:rsid w:val="00430A78"/>
    <w:rsid w:val="004337E4"/>
    <w:rsid w:val="0045000E"/>
    <w:rsid w:val="00465DCD"/>
    <w:rsid w:val="00480261"/>
    <w:rsid w:val="004844D7"/>
    <w:rsid w:val="004938E1"/>
    <w:rsid w:val="00493BE4"/>
    <w:rsid w:val="00494908"/>
    <w:rsid w:val="0049610C"/>
    <w:rsid w:val="004A3B30"/>
    <w:rsid w:val="004A71C2"/>
    <w:rsid w:val="004A77CD"/>
    <w:rsid w:val="004B1187"/>
    <w:rsid w:val="004B6263"/>
    <w:rsid w:val="004C27BC"/>
    <w:rsid w:val="004C3C0E"/>
    <w:rsid w:val="004D4A30"/>
    <w:rsid w:val="004D4E23"/>
    <w:rsid w:val="004E7201"/>
    <w:rsid w:val="005060B5"/>
    <w:rsid w:val="00513657"/>
    <w:rsid w:val="00520C62"/>
    <w:rsid w:val="005226D3"/>
    <w:rsid w:val="00522D45"/>
    <w:rsid w:val="0053219F"/>
    <w:rsid w:val="00534793"/>
    <w:rsid w:val="00534DC4"/>
    <w:rsid w:val="00541B5A"/>
    <w:rsid w:val="00557DD6"/>
    <w:rsid w:val="00567DF9"/>
    <w:rsid w:val="005741D9"/>
    <w:rsid w:val="005760C3"/>
    <w:rsid w:val="005A1313"/>
    <w:rsid w:val="005A210B"/>
    <w:rsid w:val="005A2841"/>
    <w:rsid w:val="005A4791"/>
    <w:rsid w:val="005A71CB"/>
    <w:rsid w:val="005B03E8"/>
    <w:rsid w:val="005B4200"/>
    <w:rsid w:val="005B693C"/>
    <w:rsid w:val="005C5A39"/>
    <w:rsid w:val="005D250D"/>
    <w:rsid w:val="005D67F0"/>
    <w:rsid w:val="005D7A8B"/>
    <w:rsid w:val="005E5B1D"/>
    <w:rsid w:val="005F47BF"/>
    <w:rsid w:val="005F5AE1"/>
    <w:rsid w:val="00613C6D"/>
    <w:rsid w:val="006221C8"/>
    <w:rsid w:val="0062245C"/>
    <w:rsid w:val="00633505"/>
    <w:rsid w:val="00635191"/>
    <w:rsid w:val="00635193"/>
    <w:rsid w:val="00637A2A"/>
    <w:rsid w:val="00637A30"/>
    <w:rsid w:val="006405DF"/>
    <w:rsid w:val="006435A4"/>
    <w:rsid w:val="00643C47"/>
    <w:rsid w:val="00663180"/>
    <w:rsid w:val="006654C1"/>
    <w:rsid w:val="00670B9E"/>
    <w:rsid w:val="00672F33"/>
    <w:rsid w:val="00673552"/>
    <w:rsid w:val="00683E35"/>
    <w:rsid w:val="0068642D"/>
    <w:rsid w:val="00697691"/>
    <w:rsid w:val="006A2E7A"/>
    <w:rsid w:val="006A5A66"/>
    <w:rsid w:val="006B6899"/>
    <w:rsid w:val="006C56D1"/>
    <w:rsid w:val="006C57E0"/>
    <w:rsid w:val="006D2108"/>
    <w:rsid w:val="006D4003"/>
    <w:rsid w:val="006D42F2"/>
    <w:rsid w:val="006E3314"/>
    <w:rsid w:val="006E564A"/>
    <w:rsid w:val="006F00C3"/>
    <w:rsid w:val="00706605"/>
    <w:rsid w:val="0072058D"/>
    <w:rsid w:val="0072140C"/>
    <w:rsid w:val="0073337B"/>
    <w:rsid w:val="00747B78"/>
    <w:rsid w:val="007510A4"/>
    <w:rsid w:val="00752E3B"/>
    <w:rsid w:val="0075416F"/>
    <w:rsid w:val="00781F58"/>
    <w:rsid w:val="007941B2"/>
    <w:rsid w:val="007A5064"/>
    <w:rsid w:val="007A5554"/>
    <w:rsid w:val="007B5B3E"/>
    <w:rsid w:val="007B7509"/>
    <w:rsid w:val="007D06DE"/>
    <w:rsid w:val="007E741F"/>
    <w:rsid w:val="007E7697"/>
    <w:rsid w:val="007F3AC4"/>
    <w:rsid w:val="00802B75"/>
    <w:rsid w:val="0080435D"/>
    <w:rsid w:val="00810140"/>
    <w:rsid w:val="00811440"/>
    <w:rsid w:val="0081499D"/>
    <w:rsid w:val="00820D0F"/>
    <w:rsid w:val="008228B3"/>
    <w:rsid w:val="00825A0F"/>
    <w:rsid w:val="008267FF"/>
    <w:rsid w:val="00830307"/>
    <w:rsid w:val="008317F4"/>
    <w:rsid w:val="00857E7D"/>
    <w:rsid w:val="0086027E"/>
    <w:rsid w:val="00860B78"/>
    <w:rsid w:val="00864D79"/>
    <w:rsid w:val="008651C4"/>
    <w:rsid w:val="008653A4"/>
    <w:rsid w:val="00872A0F"/>
    <w:rsid w:val="0087608A"/>
    <w:rsid w:val="00892A9F"/>
    <w:rsid w:val="0089307B"/>
    <w:rsid w:val="00894497"/>
    <w:rsid w:val="008B1DBE"/>
    <w:rsid w:val="008B4625"/>
    <w:rsid w:val="008C2920"/>
    <w:rsid w:val="008C3FEE"/>
    <w:rsid w:val="008D3E76"/>
    <w:rsid w:val="008E14B2"/>
    <w:rsid w:val="008E1CDF"/>
    <w:rsid w:val="008E233C"/>
    <w:rsid w:val="008E2EF6"/>
    <w:rsid w:val="008E5655"/>
    <w:rsid w:val="008E5FF9"/>
    <w:rsid w:val="008F5C0A"/>
    <w:rsid w:val="008F6735"/>
    <w:rsid w:val="00903174"/>
    <w:rsid w:val="009174B8"/>
    <w:rsid w:val="00933949"/>
    <w:rsid w:val="0093503C"/>
    <w:rsid w:val="009359AE"/>
    <w:rsid w:val="009378D4"/>
    <w:rsid w:val="00957E61"/>
    <w:rsid w:val="00962062"/>
    <w:rsid w:val="00970F8C"/>
    <w:rsid w:val="009847C1"/>
    <w:rsid w:val="009901D8"/>
    <w:rsid w:val="009A16DE"/>
    <w:rsid w:val="009A232D"/>
    <w:rsid w:val="009A57D7"/>
    <w:rsid w:val="009E428D"/>
    <w:rsid w:val="009E495E"/>
    <w:rsid w:val="009E702E"/>
    <w:rsid w:val="009E7429"/>
    <w:rsid w:val="009F5FD1"/>
    <w:rsid w:val="009F6A56"/>
    <w:rsid w:val="00A00794"/>
    <w:rsid w:val="00A05062"/>
    <w:rsid w:val="00A050FB"/>
    <w:rsid w:val="00A13476"/>
    <w:rsid w:val="00A1584F"/>
    <w:rsid w:val="00A22629"/>
    <w:rsid w:val="00A23B85"/>
    <w:rsid w:val="00A31D1C"/>
    <w:rsid w:val="00A35D7A"/>
    <w:rsid w:val="00A50A77"/>
    <w:rsid w:val="00A512F4"/>
    <w:rsid w:val="00A51860"/>
    <w:rsid w:val="00A56258"/>
    <w:rsid w:val="00A67A9F"/>
    <w:rsid w:val="00A8000F"/>
    <w:rsid w:val="00A830A0"/>
    <w:rsid w:val="00A8799A"/>
    <w:rsid w:val="00A92FC4"/>
    <w:rsid w:val="00A93B79"/>
    <w:rsid w:val="00A96A71"/>
    <w:rsid w:val="00AA7C92"/>
    <w:rsid w:val="00AC0FBF"/>
    <w:rsid w:val="00AD72F8"/>
    <w:rsid w:val="00AE4D68"/>
    <w:rsid w:val="00AF3138"/>
    <w:rsid w:val="00AF69F5"/>
    <w:rsid w:val="00B01893"/>
    <w:rsid w:val="00B031B5"/>
    <w:rsid w:val="00B104D9"/>
    <w:rsid w:val="00B21421"/>
    <w:rsid w:val="00B21AF7"/>
    <w:rsid w:val="00B23C79"/>
    <w:rsid w:val="00B26ED5"/>
    <w:rsid w:val="00B3040C"/>
    <w:rsid w:val="00B3274A"/>
    <w:rsid w:val="00B43A2D"/>
    <w:rsid w:val="00B44CB0"/>
    <w:rsid w:val="00B57191"/>
    <w:rsid w:val="00B61274"/>
    <w:rsid w:val="00B75118"/>
    <w:rsid w:val="00B85E81"/>
    <w:rsid w:val="00B8732A"/>
    <w:rsid w:val="00B90F9A"/>
    <w:rsid w:val="00B91912"/>
    <w:rsid w:val="00BB01A0"/>
    <w:rsid w:val="00BB461A"/>
    <w:rsid w:val="00BD6490"/>
    <w:rsid w:val="00BE51F6"/>
    <w:rsid w:val="00BF2572"/>
    <w:rsid w:val="00BF676D"/>
    <w:rsid w:val="00C02971"/>
    <w:rsid w:val="00C05D20"/>
    <w:rsid w:val="00C14C27"/>
    <w:rsid w:val="00C21BC4"/>
    <w:rsid w:val="00C242C6"/>
    <w:rsid w:val="00C32152"/>
    <w:rsid w:val="00C44831"/>
    <w:rsid w:val="00C51D3E"/>
    <w:rsid w:val="00C571A3"/>
    <w:rsid w:val="00C64F98"/>
    <w:rsid w:val="00C7351B"/>
    <w:rsid w:val="00C91766"/>
    <w:rsid w:val="00CA0AF4"/>
    <w:rsid w:val="00CA7120"/>
    <w:rsid w:val="00CA747A"/>
    <w:rsid w:val="00CB5983"/>
    <w:rsid w:val="00CC03B6"/>
    <w:rsid w:val="00CD2102"/>
    <w:rsid w:val="00CD3E70"/>
    <w:rsid w:val="00CD62D0"/>
    <w:rsid w:val="00CE25BB"/>
    <w:rsid w:val="00D027B7"/>
    <w:rsid w:val="00D0304A"/>
    <w:rsid w:val="00D07CC3"/>
    <w:rsid w:val="00D07FD7"/>
    <w:rsid w:val="00D15EE0"/>
    <w:rsid w:val="00D34D81"/>
    <w:rsid w:val="00D37E32"/>
    <w:rsid w:val="00D43C46"/>
    <w:rsid w:val="00D46DCF"/>
    <w:rsid w:val="00D63CFF"/>
    <w:rsid w:val="00D63D17"/>
    <w:rsid w:val="00D72B95"/>
    <w:rsid w:val="00D72F5A"/>
    <w:rsid w:val="00D8778E"/>
    <w:rsid w:val="00D945B7"/>
    <w:rsid w:val="00DD6801"/>
    <w:rsid w:val="00DF3BE8"/>
    <w:rsid w:val="00DF5C90"/>
    <w:rsid w:val="00E00178"/>
    <w:rsid w:val="00E027BE"/>
    <w:rsid w:val="00E034AC"/>
    <w:rsid w:val="00E26402"/>
    <w:rsid w:val="00E26EE2"/>
    <w:rsid w:val="00E429B9"/>
    <w:rsid w:val="00E51218"/>
    <w:rsid w:val="00E66FFE"/>
    <w:rsid w:val="00E76C14"/>
    <w:rsid w:val="00E968FF"/>
    <w:rsid w:val="00EA740B"/>
    <w:rsid w:val="00EB34EC"/>
    <w:rsid w:val="00EC0603"/>
    <w:rsid w:val="00EC0BA6"/>
    <w:rsid w:val="00EC2985"/>
    <w:rsid w:val="00EE20FE"/>
    <w:rsid w:val="00EE4FFE"/>
    <w:rsid w:val="00EF19DE"/>
    <w:rsid w:val="00F068F8"/>
    <w:rsid w:val="00F3446A"/>
    <w:rsid w:val="00F34B31"/>
    <w:rsid w:val="00F46F81"/>
    <w:rsid w:val="00F47115"/>
    <w:rsid w:val="00F537DF"/>
    <w:rsid w:val="00F62445"/>
    <w:rsid w:val="00F86844"/>
    <w:rsid w:val="00F9136B"/>
    <w:rsid w:val="00F93D95"/>
    <w:rsid w:val="00F952BB"/>
    <w:rsid w:val="00F96561"/>
    <w:rsid w:val="00FA0CC1"/>
    <w:rsid w:val="00FA0F56"/>
    <w:rsid w:val="00FB2412"/>
    <w:rsid w:val="00FC15D6"/>
    <w:rsid w:val="00FC6167"/>
    <w:rsid w:val="00FC744D"/>
    <w:rsid w:val="00FC7A54"/>
    <w:rsid w:val="00FE1447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2A47A0"/>
  <w15:chartTrackingRefBased/>
  <w15:docId w15:val="{8F637197-A610-430D-965B-B0B1B01D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F51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2"/>
    <w:next w:val="a2"/>
    <w:link w:val="11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link w:val="30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link w:val="40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link w:val="50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link w:val="60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link w:val="70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link w:val="90"/>
    <w:qFormat/>
    <w:rsid w:val="00A51860"/>
    <w:pPr>
      <w:keepNext/>
      <w:numPr>
        <w:numId w:val="1"/>
      </w:numPr>
      <w:jc w:val="center"/>
      <w:outlineLvl w:val="8"/>
    </w:pPr>
    <w:rPr>
      <w:b/>
      <w:sz w:val="28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11">
    <w:name w:val="Заголовок 1 Знак1"/>
    <w:link w:val="1"/>
    <w:locked/>
    <w:rsid w:val="008C3F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C3F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C3F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8C3FE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8C3F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8C3FE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8C3FE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8C3FE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8C3FEE"/>
    <w:rPr>
      <w:rFonts w:ascii="Calibri" w:eastAsia="Calibri" w:hAnsi="Calibri"/>
      <w:b/>
      <w:sz w:val="28"/>
      <w:szCs w:val="22"/>
      <w:lang w:val="ru-RU" w:eastAsia="en-US" w:bidi="ar-SA"/>
    </w:rPr>
  </w:style>
  <w:style w:type="paragraph" w:styleId="a6">
    <w:name w:val="header"/>
    <w:basedOn w:val="a2"/>
    <w:link w:val="10"/>
    <w:rsid w:val="00A51860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6"/>
    <w:semiHidden/>
    <w:locked/>
    <w:rsid w:val="008C3FEE"/>
    <w:rPr>
      <w:rFonts w:cs="Times New Roman"/>
      <w:sz w:val="24"/>
      <w:szCs w:val="24"/>
    </w:rPr>
  </w:style>
  <w:style w:type="paragraph" w:styleId="a7">
    <w:name w:val="footer"/>
    <w:basedOn w:val="a2"/>
    <w:link w:val="12"/>
    <w:rsid w:val="00A5186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7"/>
    <w:semiHidden/>
    <w:locked/>
    <w:rsid w:val="008C3FEE"/>
    <w:rPr>
      <w:rFonts w:cs="Times New Roman"/>
      <w:sz w:val="24"/>
      <w:szCs w:val="24"/>
    </w:rPr>
  </w:style>
  <w:style w:type="paragraph" w:styleId="a8">
    <w:name w:val="Normal (Web)"/>
    <w:basedOn w:val="a2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rsid w:val="00A51860"/>
    <w:rPr>
      <w:rFonts w:cs="Times New Roman"/>
    </w:rPr>
  </w:style>
  <w:style w:type="paragraph" w:styleId="aa">
    <w:name w:val="Body Text"/>
    <w:basedOn w:val="a2"/>
    <w:link w:val="13"/>
    <w:semiHidden/>
    <w:rsid w:val="00A51860"/>
    <w:pPr>
      <w:jc w:val="center"/>
    </w:pPr>
  </w:style>
  <w:style w:type="character" w:customStyle="1" w:styleId="13">
    <w:name w:val="Основной текст Знак1"/>
    <w:link w:val="aa"/>
    <w:semiHidden/>
    <w:locked/>
    <w:rsid w:val="00493BE4"/>
    <w:rPr>
      <w:rFonts w:cs="Times New Roman"/>
      <w:sz w:val="24"/>
      <w:szCs w:val="24"/>
    </w:rPr>
  </w:style>
  <w:style w:type="paragraph" w:styleId="31">
    <w:name w:val="Body Text 3"/>
    <w:basedOn w:val="a2"/>
    <w:link w:val="32"/>
    <w:semiHidden/>
    <w:rsid w:val="00A51860"/>
    <w:pPr>
      <w:jc w:val="both"/>
    </w:pPr>
    <w:rPr>
      <w:color w:val="FF0000"/>
      <w:sz w:val="28"/>
      <w:szCs w:val="28"/>
    </w:rPr>
  </w:style>
  <w:style w:type="character" w:customStyle="1" w:styleId="32">
    <w:name w:val="Основной текст 3 Знак"/>
    <w:link w:val="31"/>
    <w:semiHidden/>
    <w:locked/>
    <w:rsid w:val="008C3FEE"/>
    <w:rPr>
      <w:rFonts w:cs="Times New Roman"/>
      <w:sz w:val="16"/>
      <w:szCs w:val="16"/>
    </w:rPr>
  </w:style>
  <w:style w:type="character" w:styleId="ab">
    <w:name w:val="Hyperlink"/>
    <w:rsid w:val="00A51860"/>
    <w:rPr>
      <w:rFonts w:cs="Times New Roman"/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1">
    <w:name w:val="Body Text 2"/>
    <w:basedOn w:val="a2"/>
    <w:link w:val="22"/>
    <w:semiHidden/>
    <w:rsid w:val="00A51860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semiHidden/>
    <w:locked/>
    <w:rsid w:val="008C3FEE"/>
    <w:rPr>
      <w:rFonts w:cs="Times New Roman"/>
      <w:sz w:val="24"/>
      <w:szCs w:val="24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link w:val="23"/>
    <w:semiHidden/>
    <w:rsid w:val="00A51860"/>
    <w:pPr>
      <w:ind w:firstLine="709"/>
      <w:jc w:val="both"/>
    </w:pPr>
    <w:rPr>
      <w:sz w:val="28"/>
    </w:rPr>
  </w:style>
  <w:style w:type="character" w:customStyle="1" w:styleId="23">
    <w:name w:val="Основной текст с отступом Знак2"/>
    <w:aliases w:val="Основной текст с отступом Знак1 Знак1,Основной текст с отступом Знак Знак Знак1"/>
    <w:link w:val="ae"/>
    <w:semiHidden/>
    <w:locked/>
    <w:rsid w:val="008C3FEE"/>
    <w:rPr>
      <w:rFonts w:cs="Times New Roman"/>
      <w:sz w:val="24"/>
      <w:szCs w:val="24"/>
    </w:rPr>
  </w:style>
  <w:style w:type="paragraph" w:styleId="24">
    <w:name w:val="Body Text Indent 2"/>
    <w:basedOn w:val="a2"/>
    <w:link w:val="25"/>
    <w:semiHidden/>
    <w:rsid w:val="00A51860"/>
    <w:pPr>
      <w:ind w:firstLine="363"/>
    </w:pPr>
    <w:rPr>
      <w:b/>
      <w:bCs/>
      <w:sz w:val="28"/>
      <w:lang w:val="en-US"/>
    </w:rPr>
  </w:style>
  <w:style w:type="character" w:customStyle="1" w:styleId="25">
    <w:name w:val="Основной текст с отступом 2 Знак"/>
    <w:link w:val="24"/>
    <w:semiHidden/>
    <w:locked/>
    <w:rsid w:val="008C3FEE"/>
    <w:rPr>
      <w:rFonts w:cs="Times New Roman"/>
      <w:sz w:val="24"/>
      <w:szCs w:val="24"/>
    </w:rPr>
  </w:style>
  <w:style w:type="character" w:styleId="af">
    <w:name w:val="FollowedHyperlink"/>
    <w:semiHidden/>
    <w:rsid w:val="00A51860"/>
    <w:rPr>
      <w:rFonts w:cs="Times New Roman"/>
      <w:color w:val="800080"/>
      <w:u w:val="single"/>
    </w:rPr>
  </w:style>
  <w:style w:type="paragraph" w:styleId="33">
    <w:name w:val="Body Text Indent 3"/>
    <w:basedOn w:val="a2"/>
    <w:link w:val="310"/>
    <w:semiHidden/>
    <w:rsid w:val="00A51860"/>
    <w:pPr>
      <w:ind w:firstLine="708"/>
      <w:jc w:val="both"/>
    </w:pPr>
    <w:rPr>
      <w:sz w:val="28"/>
    </w:rPr>
  </w:style>
  <w:style w:type="character" w:customStyle="1" w:styleId="310">
    <w:name w:val="Основной текст с отступом 3 Знак1"/>
    <w:link w:val="33"/>
    <w:semiHidden/>
    <w:locked/>
    <w:rsid w:val="008C3FEE"/>
    <w:rPr>
      <w:rFonts w:cs="Times New Roman"/>
      <w:sz w:val="16"/>
      <w:szCs w:val="16"/>
    </w:rPr>
  </w:style>
  <w:style w:type="paragraph" w:styleId="af0">
    <w:name w:val="Title"/>
    <w:basedOn w:val="a2"/>
    <w:link w:val="af1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character" w:customStyle="1" w:styleId="af1">
    <w:name w:val="Заголовок Знак"/>
    <w:link w:val="af0"/>
    <w:locked/>
    <w:rsid w:val="008C3FE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4">
    <w:name w:val="Обычный1"/>
    <w:rsid w:val="00A51860"/>
  </w:style>
  <w:style w:type="character" w:styleId="af2">
    <w:name w:val="Strong"/>
    <w:qFormat/>
    <w:rsid w:val="00A51860"/>
    <w:rPr>
      <w:rFonts w:cs="Times New Roman"/>
      <w:b/>
      <w:bCs/>
    </w:rPr>
  </w:style>
  <w:style w:type="paragraph" w:customStyle="1" w:styleId="ListParagraph">
    <w:name w:val="List Paragraph"/>
    <w:basedOn w:val="a2"/>
    <w:rsid w:val="00A51860"/>
    <w:pPr>
      <w:ind w:left="720"/>
    </w:pPr>
  </w:style>
  <w:style w:type="paragraph" w:styleId="af3">
    <w:name w:val="Plain Text"/>
    <w:basedOn w:val="a2"/>
    <w:link w:val="15"/>
    <w:semiHidden/>
    <w:rsid w:val="00A51860"/>
    <w:rPr>
      <w:rFonts w:ascii="Courier New" w:hAnsi="Courier New" w:cs="Courier New"/>
      <w:color w:val="000000"/>
      <w:sz w:val="20"/>
      <w:szCs w:val="20"/>
    </w:rPr>
  </w:style>
  <w:style w:type="character" w:customStyle="1" w:styleId="15">
    <w:name w:val="Текст Знак1"/>
    <w:link w:val="af3"/>
    <w:semiHidden/>
    <w:locked/>
    <w:rsid w:val="008C3FEE"/>
    <w:rPr>
      <w:rFonts w:ascii="Courier New" w:hAnsi="Courier New" w:cs="Courier New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rsid w:val="00A51860"/>
    <w:rPr>
      <w:rFonts w:cs="Times New Roman"/>
    </w:rPr>
  </w:style>
  <w:style w:type="character" w:customStyle="1" w:styleId="longtext">
    <w:name w:val="long_text"/>
    <w:rsid w:val="00A51860"/>
    <w:rPr>
      <w:rFonts w:cs="Times New Roman"/>
    </w:rPr>
  </w:style>
  <w:style w:type="character" w:customStyle="1" w:styleId="partheader">
    <w:name w:val="partheader"/>
    <w:rsid w:val="00A51860"/>
    <w:rPr>
      <w:rFonts w:cs="Times New Roman"/>
    </w:rPr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6">
    <w:name w:val="Абзац списка1"/>
    <w:basedOn w:val="a2"/>
    <w:rsid w:val="00A51860"/>
    <w:pPr>
      <w:ind w:left="720"/>
    </w:pPr>
    <w:rPr>
      <w:sz w:val="28"/>
      <w:szCs w:val="28"/>
    </w:rPr>
  </w:style>
  <w:style w:type="paragraph" w:customStyle="1" w:styleId="a0">
    <w:name w:val="Перечисление"/>
    <w:basedOn w:val="ListParagraph"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rsid w:val="00A51860"/>
    <w:pPr>
      <w:numPr>
        <w:ilvl w:val="1"/>
      </w:numPr>
      <w:tabs>
        <w:tab w:val="num" w:pos="1440"/>
      </w:tabs>
      <w:ind w:left="1417" w:hanging="425"/>
    </w:pPr>
  </w:style>
  <w:style w:type="character" w:customStyle="1" w:styleId="17">
    <w:name w:val="Заголовок 1 Знак"/>
    <w:rsid w:val="00A51860"/>
    <w:rPr>
      <w:rFonts w:ascii="Arial" w:hAnsi="Arial"/>
      <w:b/>
      <w:sz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10">
    <w:name w:val="Абзац списка11"/>
    <w:basedOn w:val="a2"/>
    <w:rsid w:val="00A51860"/>
    <w:pPr>
      <w:ind w:left="720"/>
    </w:pPr>
  </w:style>
  <w:style w:type="character" w:customStyle="1" w:styleId="18">
    <w:name w:val="Выделение1"/>
    <w:rsid w:val="00A51860"/>
    <w:rPr>
      <w:rFonts w:cs="Times New Roman"/>
    </w:rPr>
  </w:style>
  <w:style w:type="character" w:styleId="af6">
    <w:name w:val="Emphasis"/>
    <w:qFormat/>
    <w:rsid w:val="00A51860"/>
    <w:rPr>
      <w:rFonts w:cs="Times New Roman"/>
      <w:i/>
      <w:iCs/>
    </w:rPr>
  </w:style>
  <w:style w:type="paragraph" w:customStyle="1" w:styleId="-11">
    <w:name w:val="Цветной список - Акцент 11"/>
    <w:basedOn w:val="14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6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7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7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link w:val="afe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semiHidden/>
    <w:locked/>
    <w:rsid w:val="008C3FEE"/>
    <w:rPr>
      <w:rFonts w:cs="Times New Roman"/>
      <w:sz w:val="2"/>
    </w:rPr>
  </w:style>
  <w:style w:type="character" w:customStyle="1" w:styleId="aff">
    <w:name w:val="Текст Знак"/>
    <w:rsid w:val="00A51860"/>
    <w:rPr>
      <w:rFonts w:ascii="Courier New" w:hAnsi="Courier New" w:cs="Times New Roman"/>
      <w:lang w:val="ru-RU" w:eastAsia="ru-RU" w:bidi="ar-SA"/>
    </w:rPr>
  </w:style>
  <w:style w:type="character" w:customStyle="1" w:styleId="aff0">
    <w:name w:val="Основной текст с отступом Знак"/>
    <w:aliases w:val="Основной текст с отступом Знак1 Знак,Основной текст с отступом Знак Знак Знак"/>
    <w:rsid w:val="00A51860"/>
    <w:rPr>
      <w:rFonts w:cs="Times New Roman"/>
      <w:sz w:val="28"/>
      <w:lang w:val="ru-RU" w:eastAsia="ru-RU" w:bidi="ar-SA"/>
    </w:rPr>
  </w:style>
  <w:style w:type="character" w:customStyle="1" w:styleId="aff1">
    <w:name w:val="Основной текст Знак"/>
    <w:rsid w:val="00A51860"/>
    <w:rPr>
      <w:rFonts w:cs="Times New Roman"/>
      <w:lang w:val="ru-RU" w:eastAsia="ru-RU" w:bidi="ar-SA"/>
    </w:rPr>
  </w:style>
  <w:style w:type="character" w:customStyle="1" w:styleId="34">
    <w:name w:val="Основной текст с отступом 3 Знак"/>
    <w:rsid w:val="00A51860"/>
    <w:rPr>
      <w:rFonts w:cs="Times New Roman"/>
      <w:sz w:val="16"/>
      <w:szCs w:val="16"/>
      <w:lang w:val="ru-RU" w:eastAsia="ru-RU" w:bidi="ar-SA"/>
    </w:rPr>
  </w:style>
  <w:style w:type="paragraph" w:customStyle="1" w:styleId="311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2">
    <w:name w:val="Название Знак"/>
    <w:rsid w:val="00A51860"/>
    <w:rPr>
      <w:rFonts w:cs="Times New Roman"/>
      <w:b/>
      <w:lang w:val="ru-RU" w:eastAsia="ru-RU" w:bidi="ar-SA"/>
    </w:rPr>
  </w:style>
  <w:style w:type="character" w:customStyle="1" w:styleId="aff3">
    <w:name w:val="Верхний колонтитул Знак"/>
    <w:rsid w:val="00A51860"/>
    <w:rPr>
      <w:rFonts w:cs="Times New Roman"/>
      <w:i/>
      <w:sz w:val="22"/>
      <w:lang w:val="ru-RU" w:eastAsia="ru-RU" w:bidi="ar-SA"/>
    </w:rPr>
  </w:style>
  <w:style w:type="character" w:customStyle="1" w:styleId="aff4">
    <w:name w:val="Нижний колонтитул Знак"/>
    <w:rsid w:val="00A51860"/>
    <w:rPr>
      <w:rFonts w:ascii="Arial" w:hAnsi="Arial" w:cs="Times New Roman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5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6">
    <w:name w:val="Рисунок в Диссере"/>
    <w:basedOn w:val="aff5"/>
    <w:rsid w:val="00A51860"/>
    <w:pPr>
      <w:spacing w:before="120" w:line="240" w:lineRule="auto"/>
      <w:ind w:firstLine="0"/>
      <w:jc w:val="center"/>
    </w:pPr>
  </w:style>
  <w:style w:type="paragraph" w:customStyle="1" w:styleId="aff7">
    <w:name w:val="Подпись рисунка"/>
    <w:basedOn w:val="24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rsid w:val="00A51860"/>
    <w:rPr>
      <w:rFonts w:cs="Times New Roman"/>
    </w:rPr>
  </w:style>
  <w:style w:type="character" w:customStyle="1" w:styleId="apple-converted-space">
    <w:name w:val="apple-converted-space"/>
    <w:rsid w:val="00A51860"/>
    <w:rPr>
      <w:rFonts w:cs="Times New Roman"/>
    </w:rPr>
  </w:style>
  <w:style w:type="paragraph" w:styleId="HTML">
    <w:name w:val="HTML Preformatted"/>
    <w:basedOn w:val="a2"/>
    <w:link w:val="HTML0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rsid w:val="00A51860"/>
    <w:rPr>
      <w:rFonts w:cs="Times New Roman"/>
    </w:rPr>
  </w:style>
  <w:style w:type="paragraph" w:customStyle="1" w:styleId="aff8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9"/>
    <w:rsid w:val="00A51860"/>
    <w:pPr>
      <w:numPr>
        <w:numId w:val="3"/>
      </w:numPr>
    </w:pPr>
    <w:rPr>
      <w:sz w:val="20"/>
      <w:szCs w:val="20"/>
    </w:rPr>
  </w:style>
  <w:style w:type="paragraph" w:customStyle="1" w:styleId="aff9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9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rsid w:val="00A51860"/>
    <w:rPr>
      <w:rFonts w:cs="Times New Roman"/>
    </w:rPr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a">
    <w:name w:val="Основний текст_"/>
    <w:link w:val="28"/>
    <w:locked/>
    <w:rsid w:val="007E741F"/>
    <w:rPr>
      <w:rFonts w:cs="Times New Roman"/>
      <w:sz w:val="27"/>
      <w:szCs w:val="27"/>
      <w:shd w:val="clear" w:color="auto" w:fill="FFFFFF"/>
    </w:rPr>
  </w:style>
  <w:style w:type="paragraph" w:customStyle="1" w:styleId="28">
    <w:name w:val="Основний текст2"/>
    <w:basedOn w:val="a2"/>
    <w:link w:val="affa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b">
    <w:name w:val="Абзац списку"/>
    <w:basedOn w:val="a2"/>
    <w:rsid w:val="007E741F"/>
    <w:pPr>
      <w:ind w:left="720"/>
      <w:contextualSpacing/>
    </w:pPr>
  </w:style>
  <w:style w:type="table" w:styleId="affc">
    <w:name w:val="Table Grid"/>
    <w:basedOn w:val="a4"/>
    <w:rsid w:val="005A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link w:val="NoSpacingChar"/>
    <w:rsid w:val="006221C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C2467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91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d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e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rsid w:val="00D34D81"/>
    <w:rPr>
      <w:rFonts w:cs="Times New Roman"/>
    </w:rPr>
  </w:style>
  <w:style w:type="character" w:customStyle="1" w:styleId="line">
    <w:name w:val="line"/>
    <w:rsid w:val="002F5EB7"/>
    <w:rPr>
      <w:rFonts w:cs="Times New Roman"/>
    </w:rPr>
  </w:style>
  <w:style w:type="character" w:customStyle="1" w:styleId="verseno">
    <w:name w:val="verseno"/>
    <w:rsid w:val="002F5EB7"/>
    <w:rPr>
      <w:rFonts w:cs="Times New Roman"/>
    </w:rPr>
  </w:style>
  <w:style w:type="character" w:customStyle="1" w:styleId="111">
    <w:name w:val="Основной текст (11)_"/>
    <w:link w:val="112"/>
    <w:locked/>
    <w:rsid w:val="002C2467"/>
    <w:rPr>
      <w:sz w:val="17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2C2467"/>
    <w:pPr>
      <w:shd w:val="clear" w:color="auto" w:fill="FFFFFF"/>
      <w:spacing w:line="240" w:lineRule="atLeast"/>
    </w:pPr>
    <w:rPr>
      <w:sz w:val="17"/>
      <w:szCs w:val="20"/>
    </w:rPr>
  </w:style>
  <w:style w:type="character" w:customStyle="1" w:styleId="81">
    <w:name w:val="Основной текст + 8"/>
    <w:aliases w:val="5 pt14"/>
    <w:rsid w:val="002C2467"/>
    <w:rPr>
      <w:rFonts w:cs="Times New Roman"/>
      <w:sz w:val="17"/>
      <w:szCs w:val="17"/>
      <w:lang w:bidi="ar-SA"/>
    </w:rPr>
  </w:style>
  <w:style w:type="paragraph" w:customStyle="1" w:styleId="1a">
    <w:name w:val="Стиль1"/>
    <w:basedOn w:val="a2"/>
    <w:link w:val="1b"/>
    <w:rsid w:val="00B61274"/>
    <w:pPr>
      <w:ind w:firstLine="709"/>
      <w:jc w:val="both"/>
    </w:pPr>
    <w:rPr>
      <w:sz w:val="28"/>
      <w:szCs w:val="28"/>
    </w:rPr>
  </w:style>
  <w:style w:type="character" w:customStyle="1" w:styleId="1b">
    <w:name w:val="Стиль1 Знак"/>
    <w:link w:val="1a"/>
    <w:locked/>
    <w:rsid w:val="00B61274"/>
    <w:rPr>
      <w:rFonts w:cs="Times New Roman"/>
      <w:sz w:val="28"/>
      <w:szCs w:val="28"/>
    </w:rPr>
  </w:style>
  <w:style w:type="paragraph" w:customStyle="1" w:styleId="afff0">
    <w:name w:val="подрис"/>
    <w:basedOn w:val="a2"/>
    <w:link w:val="afff1"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1">
    <w:name w:val="подрис Знак"/>
    <w:link w:val="afff0"/>
    <w:locked/>
    <w:rsid w:val="00B61274"/>
    <w:rPr>
      <w:rFonts w:cs="Times New Roman"/>
      <w:sz w:val="28"/>
      <w:szCs w:val="28"/>
      <w:shd w:val="clear" w:color="auto" w:fill="FFFFFF"/>
    </w:rPr>
  </w:style>
  <w:style w:type="paragraph" w:styleId="afff2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9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3">
    <w:name w:val="Подзаголовок Знак"/>
    <w:link w:val="afff4"/>
    <w:locked/>
    <w:rsid w:val="00305EA4"/>
    <w:rPr>
      <w:rFonts w:ascii="Arial" w:hAnsi="Arial" w:cs="Times New Roman"/>
      <w:i/>
      <w:sz w:val="24"/>
    </w:rPr>
  </w:style>
  <w:style w:type="paragraph" w:styleId="afff4">
    <w:name w:val="Subtitle"/>
    <w:basedOn w:val="a2"/>
    <w:link w:val="afff3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character" w:customStyle="1" w:styleId="SubtitleChar1">
    <w:name w:val="Subtitle Char1"/>
    <w:link w:val="afff4"/>
    <w:locked/>
    <w:rsid w:val="008C3FEE"/>
    <w:rPr>
      <w:rFonts w:ascii="Cambria" w:hAnsi="Cambria" w:cs="Times New Roman"/>
      <w:sz w:val="24"/>
      <w:szCs w:val="24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c">
    <w:name w:val="Основний текст1"/>
    <w:basedOn w:val="a2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a">
    <w:name w:val="Абзац списка2"/>
    <w:basedOn w:val="a2"/>
    <w:rsid w:val="00FA0F56"/>
    <w:pPr>
      <w:ind w:left="720"/>
      <w:contextualSpacing/>
    </w:pPr>
    <w:rPr>
      <w:lang w:val="uk-UA" w:eastAsia="uk-UA"/>
    </w:rPr>
  </w:style>
  <w:style w:type="paragraph" w:styleId="afff5">
    <w:name w:val="Body Text First Indent"/>
    <w:basedOn w:val="aa"/>
    <w:link w:val="afff6"/>
    <w:semiHidden/>
    <w:rsid w:val="00493BE4"/>
    <w:pPr>
      <w:spacing w:after="120"/>
      <w:ind w:firstLine="210"/>
      <w:jc w:val="left"/>
    </w:pPr>
  </w:style>
  <w:style w:type="character" w:customStyle="1" w:styleId="afff6">
    <w:name w:val="Красная строка Знак"/>
    <w:basedOn w:val="13"/>
    <w:link w:val="afff5"/>
    <w:locked/>
    <w:rsid w:val="00493BE4"/>
    <w:rPr>
      <w:rFonts w:cs="Times New Roman"/>
      <w:sz w:val="24"/>
      <w:szCs w:val="24"/>
    </w:rPr>
  </w:style>
  <w:style w:type="character" w:customStyle="1" w:styleId="spelle">
    <w:name w:val="spelle"/>
    <w:rsid w:val="00493BE4"/>
    <w:rPr>
      <w:rFonts w:cs="Times New Roman"/>
    </w:rPr>
  </w:style>
  <w:style w:type="character" w:customStyle="1" w:styleId="2LucidaSansUnicode">
    <w:name w:val="Основний текст (2) + Lucida Sans Unicode"/>
    <w:aliases w:val="8,5 pt1,Основний текст (5) + Arial"/>
    <w:rsid w:val="00D15EE0"/>
    <w:rPr>
      <w:rFonts w:ascii="Lucida Sans Unicode" w:hAnsi="Lucida Sans Unicode" w:cs="Lucida Sans Unicode"/>
      <w:b/>
      <w:bCs/>
      <w:i/>
      <w:iCs/>
      <w:sz w:val="17"/>
      <w:szCs w:val="17"/>
      <w:shd w:val="clear" w:color="auto" w:fill="FFFFFF"/>
    </w:rPr>
  </w:style>
  <w:style w:type="paragraph" w:customStyle="1" w:styleId="2b">
    <w:name w:val="2"/>
    <w:basedOn w:val="ae"/>
    <w:link w:val="2c"/>
    <w:rsid w:val="000A2B96"/>
    <w:pPr>
      <w:ind w:firstLine="426"/>
    </w:pPr>
    <w:rPr>
      <w:sz w:val="24"/>
    </w:rPr>
  </w:style>
  <w:style w:type="character" w:customStyle="1" w:styleId="2c">
    <w:name w:val="2 Знак"/>
    <w:link w:val="2b"/>
    <w:locked/>
    <w:rsid w:val="000A2B96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uthorAffiliation">
    <w:name w:val="Author Affiliation"/>
    <w:basedOn w:val="a2"/>
    <w:rsid w:val="000A2B96"/>
    <w:pPr>
      <w:jc w:val="center"/>
    </w:pPr>
    <w:rPr>
      <w:i/>
      <w:sz w:val="20"/>
      <w:szCs w:val="20"/>
      <w:lang w:val="en-US"/>
    </w:rPr>
  </w:style>
  <w:style w:type="character" w:customStyle="1" w:styleId="36">
    <w:name w:val="Знак Знак3"/>
    <w:rsid w:val="00C21BC4"/>
    <w:rPr>
      <w:sz w:val="28"/>
    </w:rPr>
  </w:style>
  <w:style w:type="character" w:customStyle="1" w:styleId="2d">
    <w:name w:val="Знак Знак2"/>
    <w:rsid w:val="00C21BC4"/>
    <w:rPr>
      <w:sz w:val="28"/>
    </w:rPr>
  </w:style>
  <w:style w:type="character" w:customStyle="1" w:styleId="1d">
    <w:name w:val="Знак Знак1"/>
    <w:rsid w:val="00C21BC4"/>
    <w:rPr>
      <w:rFonts w:ascii="Arial" w:hAnsi="Arial"/>
      <w:sz w:val="24"/>
      <w:lang w:val="ru-RU" w:eastAsia="ar-SA" w:bidi="ar-SA"/>
    </w:rPr>
  </w:style>
  <w:style w:type="character" w:customStyle="1" w:styleId="afff7">
    <w:name w:val="Знак Знак"/>
    <w:rsid w:val="00C21BC4"/>
    <w:rPr>
      <w:sz w:val="28"/>
    </w:rPr>
  </w:style>
  <w:style w:type="paragraph" w:customStyle="1" w:styleId="afff8">
    <w:name w:val="Рисунок"/>
    <w:basedOn w:val="aa"/>
    <w:rsid w:val="00C21BC4"/>
    <w:pPr>
      <w:keepNext/>
      <w:spacing w:before="120" w:after="120"/>
    </w:pPr>
    <w:rPr>
      <w:noProof/>
      <w:sz w:val="28"/>
      <w:szCs w:val="36"/>
    </w:rPr>
  </w:style>
  <w:style w:type="paragraph" w:customStyle="1" w:styleId="afff9">
    <w:name w:val="Подрисуночная подпись"/>
    <w:basedOn w:val="afff8"/>
    <w:rsid w:val="00C21BC4"/>
    <w:pPr>
      <w:keepNext w:val="0"/>
    </w:pPr>
    <w:rPr>
      <w:sz w:val="24"/>
      <w:szCs w:val="28"/>
    </w:rPr>
  </w:style>
  <w:style w:type="character" w:customStyle="1" w:styleId="grame">
    <w:name w:val="grame"/>
    <w:rsid w:val="00C21BC4"/>
  </w:style>
  <w:style w:type="paragraph" w:styleId="afffa">
    <w:name w:val="List Paragraph"/>
    <w:basedOn w:val="a2"/>
    <w:uiPriority w:val="34"/>
    <w:qFormat/>
    <w:rsid w:val="003F5161"/>
    <w:pPr>
      <w:ind w:left="720"/>
      <w:contextualSpacing/>
    </w:pPr>
  </w:style>
  <w:style w:type="numbering" w:customStyle="1" w:styleId="1e">
    <w:name w:val="Нет списка1"/>
    <w:next w:val="a5"/>
    <w:semiHidden/>
    <w:rsid w:val="00872A0F"/>
  </w:style>
  <w:style w:type="character" w:styleId="afffb">
    <w:name w:val="Unresolved Mention"/>
    <w:uiPriority w:val="99"/>
    <w:semiHidden/>
    <w:unhideWhenUsed/>
    <w:rsid w:val="000C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0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0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5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2789</Words>
  <Characters>18898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21644</CharactersWithSpaces>
  <SharedDoc>false</SharedDoc>
  <HLinks>
    <vt:vector size="42" baseType="variant">
      <vt:variant>
        <vt:i4>3932283</vt:i4>
      </vt:variant>
      <vt:variant>
        <vt:i4>18</vt:i4>
      </vt:variant>
      <vt:variant>
        <vt:i4>0</vt:i4>
      </vt:variant>
      <vt:variant>
        <vt:i4>5</vt:i4>
      </vt:variant>
      <vt:variant>
        <vt:lpwstr>mailto:saturska_ulvo@tdmu.edu.ua</vt:lpwstr>
      </vt:variant>
      <vt:variant>
        <vt:lpwstr/>
      </vt:variant>
      <vt:variant>
        <vt:i4>4194354</vt:i4>
      </vt:variant>
      <vt:variant>
        <vt:i4>15</vt:i4>
      </vt:variant>
      <vt:variant>
        <vt:i4>0</vt:i4>
      </vt:variant>
      <vt:variant>
        <vt:i4>5</vt:i4>
      </vt:variant>
      <vt:variant>
        <vt:lpwstr>mailto:lepyavko@tdmu.edu.ua</vt:lpwstr>
      </vt:variant>
      <vt:variant>
        <vt:lpwstr/>
      </vt:variant>
      <vt:variant>
        <vt:i4>4522030</vt:i4>
      </vt:variant>
      <vt:variant>
        <vt:i4>12</vt:i4>
      </vt:variant>
      <vt:variant>
        <vt:i4>0</vt:i4>
      </vt:variant>
      <vt:variant>
        <vt:i4>5</vt:i4>
      </vt:variant>
      <vt:variant>
        <vt:lpwstr>mailto:saturska.gs@gmail.com</vt:lpwstr>
      </vt:variant>
      <vt:variant>
        <vt:lpwstr/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https://ru.wikipedia.org/wiki/Routledge</vt:lpwstr>
      </vt:variant>
      <vt:variant>
        <vt:lpwstr/>
      </vt:variant>
      <vt:variant>
        <vt:i4>3997741</vt:i4>
      </vt:variant>
      <vt:variant>
        <vt:i4>6</vt:i4>
      </vt:variant>
      <vt:variant>
        <vt:i4>0</vt:i4>
      </vt:variant>
      <vt:variant>
        <vt:i4>5</vt:i4>
      </vt:variant>
      <vt:variant>
        <vt:lpwstr>https://web.archive.org/web/20120813121352/http:/satclinic.ir/ketab/tafakor.pdf</vt:lpwstr>
      </vt:variant>
      <vt:variant>
        <vt:lpwstr/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http://www.ippd.ru/resources/library?file=129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http://www.moluch.ru/archive/11/816/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subject/>
  <dc:creator>User</dc:creator>
  <cp:keywords/>
  <dc:description/>
  <cp:lastModifiedBy>Владимир Глотов</cp:lastModifiedBy>
  <cp:revision>4</cp:revision>
  <dcterms:created xsi:type="dcterms:W3CDTF">2020-01-30T09:16:00Z</dcterms:created>
  <dcterms:modified xsi:type="dcterms:W3CDTF">2020-01-30T10:12:00Z</dcterms:modified>
</cp:coreProperties>
</file>